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BC65F4" w:rsidRDefault="007E7869" w:rsidP="003B5A41">
      <w:pPr>
        <w:pStyle w:val="Title"/>
        <w:rPr>
          <w:lang w:val="en-GB"/>
        </w:rPr>
      </w:pPr>
      <w:r w:rsidRPr="00BC65F4">
        <w:rPr>
          <w:lang w:val="en-GB"/>
        </w:rPr>
        <w:t>Alignment of Coverage Classes for EC-EGPRS</w:t>
      </w:r>
    </w:p>
    <w:p w:rsidR="003B5A41" w:rsidRDefault="00F22B12" w:rsidP="003B5A41">
      <w:pPr>
        <w:pStyle w:val="Heading1"/>
      </w:pPr>
      <w:r>
        <w:t>Introduction</w:t>
      </w:r>
    </w:p>
    <w:p w:rsidR="00F22B12" w:rsidRPr="00BC65F4" w:rsidRDefault="008A7169" w:rsidP="00A045BA">
      <w:pPr>
        <w:pStyle w:val="BodyText"/>
        <w:rPr>
          <w:lang w:val="en-GB"/>
        </w:rPr>
      </w:pPr>
      <w:r w:rsidRPr="00BC65F4">
        <w:rPr>
          <w:lang w:val="en-GB"/>
        </w:rPr>
        <w:t>The EC-EGPRS feature is currently being specified in 3GPP Rel-</w:t>
      </w:r>
      <w:proofErr w:type="gramStart"/>
      <w:r w:rsidRPr="00BC65F4">
        <w:rPr>
          <w:lang w:val="en-GB"/>
        </w:rPr>
        <w:t>13</w:t>
      </w:r>
      <w:r w:rsidR="00485BCD" w:rsidRPr="00BC65F4">
        <w:rPr>
          <w:lang w:val="en-GB"/>
        </w:rPr>
        <w:t>,</w:t>
      </w:r>
      <w:proofErr w:type="gramEnd"/>
      <w:r w:rsidR="00485BCD" w:rsidRPr="00BC65F4">
        <w:rPr>
          <w:lang w:val="en-GB"/>
        </w:rPr>
        <w:t xml:space="preserve"> see </w:t>
      </w:r>
      <w:r w:rsidR="00485BCD">
        <w:fldChar w:fldCharType="begin"/>
      </w:r>
      <w:r w:rsidR="00485BCD" w:rsidRPr="00BC65F4">
        <w:rPr>
          <w:lang w:val="en-GB"/>
        </w:rPr>
        <w:instrText xml:space="preserve"> REF _Ref437514647 \r \h </w:instrText>
      </w:r>
      <w:r w:rsidR="00A045BA" w:rsidRPr="00BC65F4">
        <w:rPr>
          <w:lang w:val="en-GB"/>
        </w:rPr>
        <w:instrText xml:space="preserve"> \* MERGEFORMAT </w:instrText>
      </w:r>
      <w:r w:rsidR="00485BCD">
        <w:fldChar w:fldCharType="separate"/>
      </w:r>
      <w:r w:rsidR="00E138CB">
        <w:rPr>
          <w:lang w:val="en-GB"/>
        </w:rPr>
        <w:t>[1]</w:t>
      </w:r>
      <w:r w:rsidR="00485BCD">
        <w:fldChar w:fldCharType="end"/>
      </w:r>
      <w:r w:rsidRPr="00BC65F4">
        <w:rPr>
          <w:lang w:val="en-GB"/>
        </w:rPr>
        <w:t xml:space="preserve">. </w:t>
      </w:r>
    </w:p>
    <w:p w:rsidR="00485BCD" w:rsidRPr="00BC65F4" w:rsidRDefault="008D246A" w:rsidP="00A045BA">
      <w:pPr>
        <w:pStyle w:val="BodyText"/>
        <w:rPr>
          <w:lang w:val="en-GB"/>
        </w:rPr>
      </w:pPr>
      <w:r w:rsidRPr="00BC65F4">
        <w:rPr>
          <w:lang w:val="en-GB"/>
        </w:rPr>
        <w:t>One of the main objectives of the work is to specify EGPRS operation in extended coverage, which includes the introduction of new logical channels.</w:t>
      </w:r>
    </w:p>
    <w:p w:rsidR="00230252" w:rsidRPr="000631A9" w:rsidRDefault="00230252" w:rsidP="00A045BA">
      <w:pPr>
        <w:pStyle w:val="BodyText"/>
        <w:rPr>
          <w:lang w:val="en-GB"/>
        </w:rPr>
      </w:pPr>
      <w:r w:rsidRPr="00BC65F4">
        <w:rPr>
          <w:lang w:val="en-GB"/>
        </w:rPr>
        <w:t>The principle followed by EC-EGPRS is to divide some of the logical channels into coverage classes being defined as:</w:t>
      </w:r>
    </w:p>
    <w:p w:rsidR="00230252" w:rsidRPr="000631A9" w:rsidRDefault="00230252" w:rsidP="00230252">
      <w:pPr>
        <w:pStyle w:val="BodyText"/>
        <w:ind w:left="227"/>
        <w:rPr>
          <w:i/>
          <w:lang w:val="en-GB"/>
        </w:rPr>
      </w:pPr>
      <w:r w:rsidRPr="000631A9">
        <w:rPr>
          <w:i/>
          <w:lang w:val="en-GB"/>
        </w:rPr>
        <w:t xml:space="preserve">A coverage range interval supported in EC-EGPRS operation. [Four] Coverage Classes are defined where Coverage Class 1 (CC1) corresponds to the approximate coverage range interval of GPRS/EGPRS. To achieve the extended coverage range intervals associated with Coverage Class 2 (CC2), Coverage Class 3 (CC3) and Coverage Class 4 (CC4) a fixed predefined number of blind physical layer transmissions </w:t>
      </w:r>
      <w:proofErr w:type="gramStart"/>
      <w:r w:rsidRPr="000631A9">
        <w:rPr>
          <w:i/>
          <w:lang w:val="en-GB"/>
        </w:rPr>
        <w:t>is</w:t>
      </w:r>
      <w:proofErr w:type="gramEnd"/>
      <w:r w:rsidRPr="000631A9">
        <w:rPr>
          <w:i/>
          <w:lang w:val="en-GB"/>
        </w:rPr>
        <w:t xml:space="preserve"> applied per logical channel, see 3GPP TS 45.002 [11] and 3GPP TS 45.003 [12]. This number of blind physical layer transmissions may differ between logical channels for the same coverage class.</w:t>
      </w:r>
    </w:p>
    <w:p w:rsidR="008D246A" w:rsidRDefault="008D246A" w:rsidP="00A045BA">
      <w:pPr>
        <w:pStyle w:val="BodyText"/>
        <w:rPr>
          <w:lang w:val="en-GB"/>
        </w:rPr>
      </w:pPr>
      <w:r w:rsidRPr="000631A9">
        <w:rPr>
          <w:lang w:val="en-GB"/>
        </w:rPr>
        <w:t xml:space="preserve">This contribution addresses the </w:t>
      </w:r>
      <w:r w:rsidR="00D16F77" w:rsidRPr="000631A9">
        <w:rPr>
          <w:lang w:val="en-GB"/>
        </w:rPr>
        <w:t xml:space="preserve">number of blind transmissions to be used per </w:t>
      </w:r>
      <w:r w:rsidR="00230252" w:rsidRPr="000631A9">
        <w:rPr>
          <w:lang w:val="en-GB"/>
        </w:rPr>
        <w:t>coverage class</w:t>
      </w:r>
      <w:r w:rsidR="00D16F77" w:rsidRPr="000631A9">
        <w:rPr>
          <w:lang w:val="en-GB"/>
        </w:rPr>
        <w:t xml:space="preserve"> in order to align the approximate coverage extension across logical channels</w:t>
      </w:r>
      <w:r w:rsidRPr="000631A9">
        <w:rPr>
          <w:lang w:val="en-GB"/>
        </w:rPr>
        <w:t>.</w:t>
      </w:r>
      <w:r w:rsidR="00B41FF3" w:rsidRPr="000631A9">
        <w:rPr>
          <w:lang w:val="en-GB"/>
        </w:rPr>
        <w:t xml:space="preserve"> This to facilitate </w:t>
      </w:r>
      <w:r w:rsidR="004451A8" w:rsidRPr="000631A9">
        <w:rPr>
          <w:lang w:val="en-GB"/>
        </w:rPr>
        <w:t xml:space="preserve">simplified systemisation and compressed </w:t>
      </w:r>
      <w:r w:rsidR="00B41FF3" w:rsidRPr="000631A9">
        <w:rPr>
          <w:lang w:val="en-GB"/>
        </w:rPr>
        <w:t>signalling of the UL and DL coverage class thresholds over the EC-BCCH.</w:t>
      </w:r>
    </w:p>
    <w:p w:rsidR="009E599D" w:rsidRPr="000631A9" w:rsidRDefault="009E599D" w:rsidP="00A045BA">
      <w:pPr>
        <w:pStyle w:val="BodyText"/>
        <w:rPr>
          <w:lang w:val="en-GB"/>
        </w:rPr>
      </w:pPr>
      <w:r w:rsidRPr="009E599D">
        <w:rPr>
          <w:highlight w:val="yellow"/>
          <w:lang w:val="en-GB"/>
        </w:rPr>
        <w:t>Updates since Telco#4 on EC-GSM and eDRX have been highlighted in yellow, and is due to a modified mapping of EC-CCCH CC2 blocks where time diversity has been achieved by mapping over two 51 multiframes instead of one.</w:t>
      </w:r>
    </w:p>
    <w:p w:rsidR="003B5A41" w:rsidRPr="000631A9" w:rsidRDefault="00D16F77" w:rsidP="00970BD1">
      <w:pPr>
        <w:pStyle w:val="Heading1"/>
      </w:pPr>
      <w:r w:rsidRPr="000631A9">
        <w:t>Coverage class applicability</w:t>
      </w:r>
    </w:p>
    <w:p w:rsidR="00431DD7" w:rsidRPr="000631A9" w:rsidRDefault="00431DD7" w:rsidP="00431DD7">
      <w:pPr>
        <w:pStyle w:val="BodyText"/>
        <w:rPr>
          <w:lang w:val="en-GB"/>
        </w:rPr>
      </w:pPr>
      <w:r w:rsidRPr="000631A9">
        <w:rPr>
          <w:lang w:val="en-GB"/>
        </w:rPr>
        <w:t>Several logical channels that are not divided into Coverage Classes can be excluded from this investigation:</w:t>
      </w:r>
    </w:p>
    <w:p w:rsidR="00431DD7" w:rsidRPr="000631A9" w:rsidRDefault="00431DD7" w:rsidP="00431DD7">
      <w:pPr>
        <w:pStyle w:val="BodyText"/>
        <w:numPr>
          <w:ilvl w:val="0"/>
          <w:numId w:val="16"/>
        </w:numPr>
        <w:rPr>
          <w:lang w:val="en-GB"/>
        </w:rPr>
      </w:pPr>
      <w:r w:rsidRPr="000631A9">
        <w:rPr>
          <w:lang w:val="en-GB"/>
        </w:rPr>
        <w:t xml:space="preserve">FCCH: Legacy channel that the MS will acquire </w:t>
      </w:r>
      <w:proofErr w:type="gramStart"/>
      <w:r w:rsidR="006D7B9E" w:rsidRPr="000631A9">
        <w:rPr>
          <w:lang w:val="en-GB"/>
        </w:rPr>
        <w:t>when</w:t>
      </w:r>
      <w:r w:rsidRPr="000631A9">
        <w:rPr>
          <w:lang w:val="en-GB"/>
        </w:rPr>
        <w:t xml:space="preserve"> </w:t>
      </w:r>
      <w:r w:rsidR="006D7B9E" w:rsidRPr="000631A9">
        <w:rPr>
          <w:lang w:val="en-GB"/>
        </w:rPr>
        <w:t xml:space="preserve"> </w:t>
      </w:r>
      <w:r w:rsidRPr="000631A9">
        <w:rPr>
          <w:lang w:val="en-GB"/>
        </w:rPr>
        <w:t>detect</w:t>
      </w:r>
      <w:r w:rsidR="006D7B9E" w:rsidRPr="000631A9">
        <w:rPr>
          <w:lang w:val="en-GB"/>
        </w:rPr>
        <w:t>ing</w:t>
      </w:r>
      <w:proofErr w:type="gramEnd"/>
      <w:r w:rsidR="006D7B9E" w:rsidRPr="000631A9">
        <w:rPr>
          <w:lang w:val="en-GB"/>
        </w:rPr>
        <w:t xml:space="preserve"> a cell.</w:t>
      </w:r>
    </w:p>
    <w:p w:rsidR="00431DD7" w:rsidRPr="000631A9" w:rsidRDefault="00431DD7" w:rsidP="00431DD7">
      <w:pPr>
        <w:pStyle w:val="BodyText"/>
        <w:numPr>
          <w:ilvl w:val="0"/>
          <w:numId w:val="16"/>
        </w:numPr>
        <w:rPr>
          <w:lang w:val="en-GB"/>
        </w:rPr>
      </w:pPr>
      <w:r w:rsidRPr="000631A9">
        <w:rPr>
          <w:lang w:val="en-GB"/>
        </w:rPr>
        <w:t>EC-BCCH: Always repeated 16 times to reach all MS in a cell</w:t>
      </w:r>
      <w:r w:rsidR="006D7B9E" w:rsidRPr="000631A9">
        <w:rPr>
          <w:lang w:val="en-GB"/>
        </w:rPr>
        <w:t>.</w:t>
      </w:r>
    </w:p>
    <w:p w:rsidR="00431DD7" w:rsidRPr="000631A9" w:rsidRDefault="00431DD7" w:rsidP="00431DD7">
      <w:pPr>
        <w:pStyle w:val="BodyText"/>
        <w:numPr>
          <w:ilvl w:val="0"/>
          <w:numId w:val="16"/>
        </w:numPr>
        <w:rPr>
          <w:lang w:val="en-GB"/>
        </w:rPr>
      </w:pPr>
      <w:r w:rsidRPr="000631A9">
        <w:rPr>
          <w:lang w:val="en-GB"/>
        </w:rPr>
        <w:t>EC-SCH: Always repeated 28 times to reach all MS in a cell</w:t>
      </w:r>
      <w:r w:rsidR="006D7B9E" w:rsidRPr="000631A9">
        <w:rPr>
          <w:lang w:val="en-GB"/>
        </w:rPr>
        <w:t>.</w:t>
      </w:r>
    </w:p>
    <w:p w:rsidR="00431DD7" w:rsidRPr="000631A9" w:rsidRDefault="00431DD7" w:rsidP="00431DD7">
      <w:pPr>
        <w:pStyle w:val="BodyText"/>
        <w:rPr>
          <w:lang w:val="en-GB"/>
        </w:rPr>
      </w:pPr>
      <w:r w:rsidRPr="000631A9">
        <w:rPr>
          <w:lang w:val="en-GB"/>
        </w:rPr>
        <w:t>Logical channels that make use of the CC concept and that need to be investigated are:</w:t>
      </w:r>
    </w:p>
    <w:p w:rsidR="00431DD7" w:rsidRPr="000631A9" w:rsidRDefault="00431DD7" w:rsidP="00431DD7">
      <w:pPr>
        <w:pStyle w:val="BodyText"/>
        <w:numPr>
          <w:ilvl w:val="0"/>
          <w:numId w:val="17"/>
        </w:numPr>
      </w:pPr>
      <w:r w:rsidRPr="000631A9">
        <w:t>DL:</w:t>
      </w:r>
    </w:p>
    <w:p w:rsidR="00431DD7" w:rsidRPr="000631A9" w:rsidRDefault="00431DD7" w:rsidP="00431DD7">
      <w:pPr>
        <w:pStyle w:val="BodyText"/>
        <w:numPr>
          <w:ilvl w:val="1"/>
          <w:numId w:val="17"/>
        </w:numPr>
      </w:pPr>
      <w:r w:rsidRPr="000631A9">
        <w:t>EC-CCCH</w:t>
      </w:r>
      <w:r w:rsidR="006D7B9E" w:rsidRPr="000631A9">
        <w:t>/D</w:t>
      </w:r>
      <w:r w:rsidRPr="000631A9">
        <w:t xml:space="preserve"> (EC-AGCH/EC-PCH), EC-PACCH, EC-PDTCH</w:t>
      </w:r>
    </w:p>
    <w:p w:rsidR="00431DD7" w:rsidRPr="000631A9" w:rsidRDefault="00431DD7" w:rsidP="00431DD7">
      <w:pPr>
        <w:pStyle w:val="BodyText"/>
        <w:numPr>
          <w:ilvl w:val="0"/>
          <w:numId w:val="17"/>
        </w:numPr>
      </w:pPr>
      <w:r w:rsidRPr="000631A9">
        <w:t>UL:</w:t>
      </w:r>
    </w:p>
    <w:p w:rsidR="00B005F5" w:rsidRPr="000631A9" w:rsidRDefault="00431DD7" w:rsidP="00431DD7">
      <w:pPr>
        <w:pStyle w:val="BodyText"/>
        <w:numPr>
          <w:ilvl w:val="1"/>
          <w:numId w:val="17"/>
        </w:numPr>
      </w:pPr>
      <w:r w:rsidRPr="000631A9">
        <w:t>EC-CCCH</w:t>
      </w:r>
      <w:r w:rsidR="006D7B9E" w:rsidRPr="000631A9">
        <w:t>/U</w:t>
      </w:r>
      <w:r w:rsidRPr="000631A9">
        <w:t xml:space="preserve"> (EC-RACH), EC-PACCH, EC-PDTCH</w:t>
      </w:r>
    </w:p>
    <w:p w:rsidR="00431DD7" w:rsidRPr="000631A9" w:rsidRDefault="00073419" w:rsidP="0099264B">
      <w:pPr>
        <w:pStyle w:val="Heading1"/>
      </w:pPr>
      <w:r w:rsidRPr="000631A9">
        <w:lastRenderedPageBreak/>
        <w:t>C</w:t>
      </w:r>
      <w:r w:rsidR="0099264B" w:rsidRPr="000631A9">
        <w:t>overage</w:t>
      </w:r>
      <w:r w:rsidR="005610C2" w:rsidRPr="000631A9">
        <w:t xml:space="preserve"> limit</w:t>
      </w:r>
    </w:p>
    <w:p w:rsidR="0036295C" w:rsidRPr="000631A9" w:rsidRDefault="005610C2" w:rsidP="0099264B">
      <w:pPr>
        <w:rPr>
          <w:lang w:val="en-GB"/>
        </w:rPr>
      </w:pPr>
      <w:r w:rsidRPr="000631A9">
        <w:rPr>
          <w:lang w:val="en-GB"/>
        </w:rPr>
        <w:t>In order to define a coverage limit</w:t>
      </w:r>
      <w:r w:rsidR="00F51255" w:rsidRPr="000631A9">
        <w:rPr>
          <w:lang w:val="en-GB"/>
        </w:rPr>
        <w:t xml:space="preserve"> for a specific logical channel</w:t>
      </w:r>
      <w:r w:rsidRPr="000631A9">
        <w:rPr>
          <w:lang w:val="en-GB"/>
        </w:rPr>
        <w:t xml:space="preserve">, there is a need to set a requirement on </w:t>
      </w:r>
      <w:r w:rsidR="00F51255" w:rsidRPr="000631A9">
        <w:rPr>
          <w:lang w:val="en-GB"/>
        </w:rPr>
        <w:t xml:space="preserve">when the coverage is achieved. </w:t>
      </w:r>
    </w:p>
    <w:p w:rsidR="0036295C" w:rsidRPr="000631A9" w:rsidRDefault="00F51255" w:rsidP="0099264B">
      <w:pPr>
        <w:rPr>
          <w:lang w:val="en-GB"/>
        </w:rPr>
      </w:pPr>
      <w:r w:rsidRPr="000631A9">
        <w:rPr>
          <w:lang w:val="en-GB"/>
        </w:rPr>
        <w:t xml:space="preserve">It is assumed that for EC-PACCH that maximum </w:t>
      </w:r>
      <w:r w:rsidR="00CC2A43" w:rsidRPr="000631A9">
        <w:rPr>
          <w:lang w:val="en-GB"/>
        </w:rPr>
        <w:t xml:space="preserve">targeted </w:t>
      </w:r>
      <w:r w:rsidRPr="000631A9">
        <w:rPr>
          <w:lang w:val="en-GB"/>
        </w:rPr>
        <w:t xml:space="preserve">BLER level is 10 %. </w:t>
      </w:r>
    </w:p>
    <w:p w:rsidR="0099264B" w:rsidRPr="000631A9" w:rsidRDefault="00F51255" w:rsidP="0099264B">
      <w:pPr>
        <w:rPr>
          <w:lang w:val="en-GB"/>
        </w:rPr>
      </w:pPr>
      <w:r w:rsidRPr="000631A9">
        <w:rPr>
          <w:lang w:val="en-GB"/>
        </w:rPr>
        <w:t xml:space="preserve">For other channels it is not as straight forward. </w:t>
      </w:r>
    </w:p>
    <w:p w:rsidR="006B48BF" w:rsidRPr="000631A9" w:rsidRDefault="006B48BF" w:rsidP="0099264B">
      <w:pPr>
        <w:rPr>
          <w:lang w:val="en-GB"/>
        </w:rPr>
      </w:pPr>
      <w:r w:rsidRPr="000631A9">
        <w:rPr>
          <w:lang w:val="en-GB"/>
        </w:rPr>
        <w:t xml:space="preserve">For EC-PDTCH it is assumed that </w:t>
      </w:r>
      <w:r w:rsidR="0081646B" w:rsidRPr="000631A9">
        <w:rPr>
          <w:lang w:val="en-GB"/>
        </w:rPr>
        <w:t>50</w:t>
      </w:r>
      <w:r w:rsidRPr="000631A9">
        <w:rPr>
          <w:lang w:val="en-GB"/>
        </w:rPr>
        <w:t xml:space="preserve">% BLER can be </w:t>
      </w:r>
      <w:r w:rsidR="001C0B20" w:rsidRPr="000631A9">
        <w:rPr>
          <w:lang w:val="en-GB"/>
        </w:rPr>
        <w:t>tol</w:t>
      </w:r>
      <w:r w:rsidRPr="000631A9">
        <w:rPr>
          <w:lang w:val="en-GB"/>
        </w:rPr>
        <w:t xml:space="preserve">erated in the UL considering that the operation of chase combining is not dependent on the RLC/MAC header operation (due to the use of Fixed Uplink Allocation). </w:t>
      </w:r>
      <w:r w:rsidR="0081646B" w:rsidRPr="000631A9">
        <w:rPr>
          <w:lang w:val="en-GB"/>
        </w:rPr>
        <w:t xml:space="preserve">This has also been shown in earlier evaluations for EC-GSM when evaluating the HARQ throughput, </w:t>
      </w:r>
      <w:r w:rsidR="006D7B9E" w:rsidRPr="000631A9">
        <w:rPr>
          <w:lang w:val="en-GB"/>
        </w:rPr>
        <w:t xml:space="preserve">where </w:t>
      </w:r>
      <w:r w:rsidR="0081646B" w:rsidRPr="000631A9">
        <w:rPr>
          <w:lang w:val="en-GB"/>
        </w:rPr>
        <w:t xml:space="preserve">the initial BLER </w:t>
      </w:r>
      <w:r w:rsidR="006D7B9E" w:rsidRPr="000631A9">
        <w:rPr>
          <w:lang w:val="en-GB"/>
        </w:rPr>
        <w:t>was shown to be</w:t>
      </w:r>
      <w:r w:rsidR="0081646B" w:rsidRPr="000631A9">
        <w:rPr>
          <w:lang w:val="en-GB"/>
        </w:rPr>
        <w:t xml:space="preserve"> around 45%. </w:t>
      </w:r>
      <w:r w:rsidRPr="000631A9">
        <w:rPr>
          <w:lang w:val="en-GB"/>
        </w:rPr>
        <w:t xml:space="preserve">On the DL, the case is different where also decoding of the RLC/MAC header is required to perform soft combining. It is assumed that a suitable </w:t>
      </w:r>
      <w:r w:rsidR="00A77E8A" w:rsidRPr="000631A9">
        <w:rPr>
          <w:lang w:val="en-GB"/>
        </w:rPr>
        <w:t xml:space="preserve">overall </w:t>
      </w:r>
      <w:r w:rsidR="001C0B20" w:rsidRPr="000631A9">
        <w:rPr>
          <w:lang w:val="en-GB"/>
        </w:rPr>
        <w:t>BLER</w:t>
      </w:r>
      <w:r w:rsidR="00A77E8A" w:rsidRPr="000631A9">
        <w:rPr>
          <w:lang w:val="en-GB"/>
        </w:rPr>
        <w:t>, taking headers and data errors into account,</w:t>
      </w:r>
      <w:r w:rsidR="001C0B20" w:rsidRPr="000631A9">
        <w:rPr>
          <w:lang w:val="en-GB"/>
        </w:rPr>
        <w:t xml:space="preserve"> </w:t>
      </w:r>
      <w:r w:rsidRPr="000631A9">
        <w:rPr>
          <w:lang w:val="en-GB"/>
        </w:rPr>
        <w:t>operating point is around 20 %</w:t>
      </w:r>
      <w:r w:rsidR="00B010BC" w:rsidRPr="000631A9">
        <w:rPr>
          <w:lang w:val="en-GB"/>
        </w:rPr>
        <w:t xml:space="preserve"> for EC-PDTCH/D</w:t>
      </w:r>
      <w:r w:rsidRPr="000631A9">
        <w:rPr>
          <w:lang w:val="en-GB"/>
        </w:rPr>
        <w:t>.</w:t>
      </w:r>
    </w:p>
    <w:p w:rsidR="00C84D0F" w:rsidRPr="000631A9" w:rsidRDefault="00C84D0F" w:rsidP="0099264B">
      <w:pPr>
        <w:rPr>
          <w:lang w:val="en-GB"/>
        </w:rPr>
      </w:pPr>
      <w:r w:rsidRPr="000631A9">
        <w:rPr>
          <w:lang w:val="en-GB"/>
        </w:rPr>
        <w:t xml:space="preserve">For EC-RACH it is assumed in the link budget </w:t>
      </w:r>
      <w:r w:rsidR="000E0BCF" w:rsidRPr="000631A9">
        <w:rPr>
          <w:lang w:val="en-GB"/>
        </w:rPr>
        <w:t xml:space="preserve">calculations that a target of 20 % is used. This is slightly higher than the minimum performance requirements used today for RACH when targeting a certain BLER, in which case 15% is used on PRACH. In general the random access can handle a higher BLER, due to the possibility to perform re-attempts when not being able to access the system. </w:t>
      </w:r>
      <w:r w:rsidR="006D7B9E" w:rsidRPr="000631A9">
        <w:rPr>
          <w:lang w:val="en-GB"/>
        </w:rPr>
        <w:t xml:space="preserve">It is further so that EC-EGPRS in general is not expected to be as delay sensitive as GSM/EDGE, why a somewhat higher initial BLER on the EC-RACH </w:t>
      </w:r>
      <w:r w:rsidR="00F67F30" w:rsidRPr="000631A9">
        <w:rPr>
          <w:lang w:val="en-GB"/>
        </w:rPr>
        <w:t>can</w:t>
      </w:r>
      <w:r w:rsidR="006D7B9E" w:rsidRPr="000631A9">
        <w:rPr>
          <w:lang w:val="en-GB"/>
        </w:rPr>
        <w:t xml:space="preserve"> be acceptable.</w:t>
      </w:r>
    </w:p>
    <w:p w:rsidR="0052242C" w:rsidRPr="000631A9" w:rsidRDefault="002F3013" w:rsidP="0099264B">
      <w:pPr>
        <w:rPr>
          <w:lang w:val="en-GB"/>
        </w:rPr>
      </w:pPr>
      <w:r w:rsidRPr="000631A9">
        <w:rPr>
          <w:lang w:val="en-GB"/>
        </w:rPr>
        <w:t>For EC-CCCH/D a BLER of 10 % is assumed, as for EC-PACCH.</w:t>
      </w:r>
    </w:p>
    <w:p w:rsidR="00CF6591" w:rsidRPr="000631A9" w:rsidRDefault="00CF6591" w:rsidP="0099264B">
      <w:pPr>
        <w:rPr>
          <w:lang w:val="en-GB"/>
        </w:rPr>
      </w:pPr>
      <w:r w:rsidRPr="000631A9">
        <w:rPr>
          <w:lang w:val="en-GB"/>
        </w:rPr>
        <w:t xml:space="preserve">The targeted BLER for the different logical channels are listed in </w:t>
      </w:r>
      <w:r w:rsidR="001C0B20" w:rsidRPr="000631A9">
        <w:rPr>
          <w:lang w:val="en-GB"/>
        </w:rPr>
        <w:t>Table 1.</w:t>
      </w:r>
    </w:p>
    <w:p w:rsidR="00CF6591" w:rsidRPr="000631A9" w:rsidRDefault="00CF6591" w:rsidP="00CF6591">
      <w:pPr>
        <w:pStyle w:val="Caption"/>
        <w:rPr>
          <w:lang w:val="en-GB"/>
        </w:rPr>
      </w:pPr>
      <w:proofErr w:type="gramStart"/>
      <w:r w:rsidRPr="000631A9">
        <w:rPr>
          <w:lang w:val="en-GB"/>
        </w:rPr>
        <w:t xml:space="preserve">Table </w:t>
      </w:r>
      <w:proofErr w:type="gramEnd"/>
      <w:r w:rsidR="00BD7874" w:rsidRPr="000631A9">
        <w:fldChar w:fldCharType="begin"/>
      </w:r>
      <w:r w:rsidR="00BD7874" w:rsidRPr="000631A9">
        <w:rPr>
          <w:lang w:val="en-GB"/>
        </w:rPr>
        <w:instrText xml:space="preserve"> SEQ Table \* ARABIC </w:instrText>
      </w:r>
      <w:r w:rsidR="00BD7874" w:rsidRPr="000631A9">
        <w:fldChar w:fldCharType="separate"/>
      </w:r>
      <w:r w:rsidR="00E138CB">
        <w:rPr>
          <w:noProof/>
          <w:lang w:val="en-GB"/>
        </w:rPr>
        <w:t>1</w:t>
      </w:r>
      <w:r w:rsidR="00BD7874" w:rsidRPr="000631A9">
        <w:rPr>
          <w:noProof/>
        </w:rPr>
        <w:fldChar w:fldCharType="end"/>
      </w:r>
      <w:proofErr w:type="gramStart"/>
      <w:r w:rsidRPr="000631A9">
        <w:rPr>
          <w:lang w:val="en-GB"/>
        </w:rPr>
        <w:t>.</w:t>
      </w:r>
      <w:proofErr w:type="gramEnd"/>
      <w:r w:rsidRPr="000631A9">
        <w:rPr>
          <w:lang w:val="en-GB"/>
        </w:rPr>
        <w:t xml:space="preserve"> BLER targets for different logical channels.</w:t>
      </w:r>
    </w:p>
    <w:tbl>
      <w:tblPr>
        <w:tblStyle w:val="TableGrid"/>
        <w:tblW w:w="0" w:type="auto"/>
        <w:jc w:val="center"/>
        <w:tblLook w:val="04A0" w:firstRow="1" w:lastRow="0" w:firstColumn="1" w:lastColumn="0" w:noHBand="0" w:noVBand="1"/>
      </w:tblPr>
      <w:tblGrid>
        <w:gridCol w:w="1692"/>
        <w:gridCol w:w="2676"/>
      </w:tblGrid>
      <w:tr w:rsidR="000631A9" w:rsidRPr="000631A9" w:rsidTr="00CF6591">
        <w:trPr>
          <w:jc w:val="center"/>
        </w:trPr>
        <w:tc>
          <w:tcPr>
            <w:tcW w:w="1692" w:type="dxa"/>
            <w:shd w:val="clear" w:color="auto" w:fill="DBE5F1" w:themeFill="accent1" w:themeFillTint="33"/>
          </w:tcPr>
          <w:p w:rsidR="00CF6591" w:rsidRPr="000631A9" w:rsidRDefault="00CF6591" w:rsidP="00CF6591">
            <w:r w:rsidRPr="000631A9">
              <w:t>Logical channel</w:t>
            </w:r>
          </w:p>
        </w:tc>
        <w:tc>
          <w:tcPr>
            <w:tcW w:w="2676" w:type="dxa"/>
            <w:shd w:val="clear" w:color="auto" w:fill="DBE5F1" w:themeFill="accent1" w:themeFillTint="33"/>
          </w:tcPr>
          <w:p w:rsidR="00CF6591" w:rsidRPr="000631A9" w:rsidRDefault="00CF6591" w:rsidP="00CF6591">
            <w:r w:rsidRPr="000631A9">
              <w:t>Target maximum BLER [%]</w:t>
            </w:r>
          </w:p>
        </w:tc>
      </w:tr>
      <w:tr w:rsidR="000631A9" w:rsidRPr="000631A9" w:rsidTr="00CF6591">
        <w:trPr>
          <w:jc w:val="center"/>
        </w:trPr>
        <w:tc>
          <w:tcPr>
            <w:tcW w:w="1692" w:type="dxa"/>
          </w:tcPr>
          <w:p w:rsidR="00CF6591" w:rsidRPr="000631A9" w:rsidRDefault="00CF6591" w:rsidP="00CF6591">
            <w:r w:rsidRPr="000631A9">
              <w:t>EC-PDTCH/U</w:t>
            </w:r>
          </w:p>
        </w:tc>
        <w:tc>
          <w:tcPr>
            <w:tcW w:w="2676" w:type="dxa"/>
          </w:tcPr>
          <w:p w:rsidR="00CF6591" w:rsidRPr="000631A9" w:rsidRDefault="003A4365" w:rsidP="00CD74CE">
            <w:pPr>
              <w:jc w:val="center"/>
            </w:pPr>
            <w:r w:rsidRPr="000631A9">
              <w:t>5</w:t>
            </w:r>
            <w:r w:rsidR="00CF6591" w:rsidRPr="000631A9">
              <w:t>0%</w:t>
            </w:r>
          </w:p>
        </w:tc>
      </w:tr>
      <w:tr w:rsidR="000631A9" w:rsidRPr="000631A9" w:rsidTr="00CF6591">
        <w:trPr>
          <w:jc w:val="center"/>
        </w:trPr>
        <w:tc>
          <w:tcPr>
            <w:tcW w:w="1692" w:type="dxa"/>
          </w:tcPr>
          <w:p w:rsidR="00CF6591" w:rsidRPr="000631A9" w:rsidRDefault="00CF6591" w:rsidP="00CF6591">
            <w:r w:rsidRPr="000631A9">
              <w:t>EC-PDTCH/D</w:t>
            </w:r>
          </w:p>
        </w:tc>
        <w:tc>
          <w:tcPr>
            <w:tcW w:w="2676" w:type="dxa"/>
          </w:tcPr>
          <w:p w:rsidR="00CF6591" w:rsidRPr="000631A9" w:rsidRDefault="00CF6591" w:rsidP="00A4329E">
            <w:pPr>
              <w:jc w:val="center"/>
            </w:pPr>
            <w:r w:rsidRPr="000631A9">
              <w:t>20%</w:t>
            </w:r>
          </w:p>
        </w:tc>
      </w:tr>
      <w:tr w:rsidR="000631A9" w:rsidRPr="000631A9" w:rsidTr="00CF6591">
        <w:trPr>
          <w:jc w:val="center"/>
        </w:trPr>
        <w:tc>
          <w:tcPr>
            <w:tcW w:w="1692" w:type="dxa"/>
          </w:tcPr>
          <w:p w:rsidR="00CF6591" w:rsidRPr="000631A9" w:rsidRDefault="00CF6591" w:rsidP="00CF6591">
            <w:r w:rsidRPr="000631A9">
              <w:t>EC-PACCH</w:t>
            </w:r>
          </w:p>
        </w:tc>
        <w:tc>
          <w:tcPr>
            <w:tcW w:w="2676" w:type="dxa"/>
          </w:tcPr>
          <w:p w:rsidR="00CF6591" w:rsidRPr="000631A9" w:rsidRDefault="00CF6591" w:rsidP="00A4329E">
            <w:pPr>
              <w:jc w:val="center"/>
            </w:pPr>
            <w:r w:rsidRPr="000631A9">
              <w:t>10%</w:t>
            </w:r>
          </w:p>
        </w:tc>
      </w:tr>
      <w:tr w:rsidR="000631A9" w:rsidRPr="000631A9" w:rsidTr="00CF6591">
        <w:trPr>
          <w:jc w:val="center"/>
        </w:trPr>
        <w:tc>
          <w:tcPr>
            <w:tcW w:w="1692" w:type="dxa"/>
          </w:tcPr>
          <w:p w:rsidR="00CF6591" w:rsidRPr="000631A9" w:rsidRDefault="00CF6591" w:rsidP="00CF6591">
            <w:r w:rsidRPr="000631A9">
              <w:t>EC-RACH</w:t>
            </w:r>
          </w:p>
        </w:tc>
        <w:tc>
          <w:tcPr>
            <w:tcW w:w="2676" w:type="dxa"/>
          </w:tcPr>
          <w:p w:rsidR="00CF6591" w:rsidRPr="000631A9" w:rsidRDefault="00CF6591" w:rsidP="00A4329E">
            <w:pPr>
              <w:jc w:val="center"/>
            </w:pPr>
            <w:r w:rsidRPr="000631A9">
              <w:t>20%</w:t>
            </w:r>
          </w:p>
        </w:tc>
      </w:tr>
      <w:tr w:rsidR="00CF6591" w:rsidRPr="000631A9" w:rsidTr="00CF6591">
        <w:trPr>
          <w:jc w:val="center"/>
        </w:trPr>
        <w:tc>
          <w:tcPr>
            <w:tcW w:w="1692" w:type="dxa"/>
          </w:tcPr>
          <w:p w:rsidR="00CF6591" w:rsidRPr="000631A9" w:rsidRDefault="00CF6591" w:rsidP="00CF6591">
            <w:r w:rsidRPr="000631A9">
              <w:t>EC-C</w:t>
            </w:r>
            <w:r w:rsidR="00F87CFD" w:rsidRPr="000631A9">
              <w:t>C</w:t>
            </w:r>
            <w:r w:rsidRPr="000631A9">
              <w:t>CH/D</w:t>
            </w:r>
          </w:p>
        </w:tc>
        <w:tc>
          <w:tcPr>
            <w:tcW w:w="2676" w:type="dxa"/>
          </w:tcPr>
          <w:p w:rsidR="00CF6591" w:rsidRPr="000631A9" w:rsidRDefault="00CF6591" w:rsidP="00A4329E">
            <w:pPr>
              <w:jc w:val="center"/>
            </w:pPr>
            <w:r w:rsidRPr="000631A9">
              <w:t>10%</w:t>
            </w:r>
          </w:p>
        </w:tc>
      </w:tr>
    </w:tbl>
    <w:p w:rsidR="00CF6591" w:rsidRPr="000631A9" w:rsidRDefault="00CF6591" w:rsidP="00CF6591"/>
    <w:p w:rsidR="00F10612" w:rsidRPr="000631A9" w:rsidRDefault="00073419" w:rsidP="00F10612">
      <w:pPr>
        <w:pStyle w:val="Heading1"/>
      </w:pPr>
      <w:r w:rsidRPr="000631A9">
        <w:t>C</w:t>
      </w:r>
      <w:r w:rsidR="00F10612" w:rsidRPr="000631A9">
        <w:t>oherency</w:t>
      </w:r>
    </w:p>
    <w:p w:rsidR="00F10612" w:rsidRPr="000631A9" w:rsidRDefault="00F10612" w:rsidP="00F10612">
      <w:pPr>
        <w:rPr>
          <w:lang w:val="en-GB"/>
        </w:rPr>
      </w:pPr>
      <w:r w:rsidRPr="000631A9">
        <w:rPr>
          <w:lang w:val="en-GB"/>
        </w:rPr>
        <w:t xml:space="preserve">In the following results, it is assumed that </w:t>
      </w:r>
      <w:r w:rsidR="00A77E8A" w:rsidRPr="000631A9">
        <w:rPr>
          <w:lang w:val="en-GB"/>
        </w:rPr>
        <w:t xml:space="preserve">on the transmitter side </w:t>
      </w:r>
      <w:r w:rsidRPr="000631A9">
        <w:rPr>
          <w:lang w:val="en-GB"/>
        </w:rPr>
        <w:t>coherency is only kept between TS in the same TDMA frame, and not across TDMA frames.</w:t>
      </w:r>
      <w:r w:rsidR="00A77E8A" w:rsidRPr="000631A9">
        <w:rPr>
          <w:lang w:val="en-GB"/>
        </w:rPr>
        <w:t xml:space="preserve"> On the receiver side </w:t>
      </w:r>
      <w:r w:rsidR="00A77E8A" w:rsidRPr="000631A9">
        <w:rPr>
          <w:lang w:val="en-GB"/>
        </w:rPr>
        <w:lastRenderedPageBreak/>
        <w:t>coherent receptions within a TDMA frame are combined in the IQ domain without compensation for frequency drift or phase shift.</w:t>
      </w:r>
    </w:p>
    <w:p w:rsidR="00FC0BD9" w:rsidRPr="000631A9" w:rsidRDefault="00257954" w:rsidP="00FC0BD9">
      <w:pPr>
        <w:pStyle w:val="Heading1"/>
      </w:pPr>
      <w:r w:rsidRPr="000631A9">
        <w:t>O</w:t>
      </w:r>
      <w:r w:rsidR="00FC0BD9" w:rsidRPr="000631A9">
        <w:t>utput power</w:t>
      </w:r>
    </w:p>
    <w:p w:rsidR="00CD74CE" w:rsidRPr="000631A9" w:rsidRDefault="00CD74CE" w:rsidP="00BC65F4">
      <w:pPr>
        <w:pStyle w:val="Heading2"/>
      </w:pPr>
      <w:r w:rsidRPr="000631A9">
        <w:t>BTS</w:t>
      </w:r>
    </w:p>
    <w:p w:rsidR="00CD74CE" w:rsidRPr="000631A9" w:rsidRDefault="00CD74CE" w:rsidP="00BC65F4">
      <w:pPr>
        <w:pStyle w:val="BodyText"/>
      </w:pPr>
      <w:r w:rsidRPr="000631A9">
        <w:t>The BTS will apply different output power levels depending on cell. In the CIoT study a 43 dBm output power was assumed, but this is not an upper limit on BTS output power, and the actual transmitted output power level will depend on the nominal output power level, the combination stages in the BTS (if any), feeder loss etc. Hence, there is no</w:t>
      </w:r>
      <w:r w:rsidR="00FD7080" w:rsidRPr="000631A9">
        <w:t>t a single</w:t>
      </w:r>
      <w:r w:rsidRPr="000631A9">
        <w:t xml:space="preserve"> true value of output power level actually transmitted by the BTS.</w:t>
      </w:r>
    </w:p>
    <w:p w:rsidR="00CD74CE" w:rsidRPr="000631A9" w:rsidRDefault="00CD74CE" w:rsidP="00BC65F4">
      <w:pPr>
        <w:pStyle w:val="Heading2"/>
      </w:pPr>
      <w:r w:rsidRPr="000631A9">
        <w:t>MS</w:t>
      </w:r>
    </w:p>
    <w:p w:rsidR="00FC0BD9" w:rsidRPr="000631A9" w:rsidRDefault="00BF2C6F" w:rsidP="007C6E89">
      <w:pPr>
        <w:pStyle w:val="BodyText"/>
        <w:rPr>
          <w:lang w:val="en-GB"/>
        </w:rPr>
      </w:pPr>
      <w:r w:rsidRPr="000631A9">
        <w:rPr>
          <w:lang w:val="en-GB"/>
        </w:rPr>
        <w:t>For EC-EGPRS it is assumed that both 33 dBm and 23 dBm devices follow the same specification and hence will make use of the same coverage class definitions, and consequently the same number of blind transmissions</w:t>
      </w:r>
      <w:r w:rsidR="00066E4B" w:rsidRPr="000631A9">
        <w:rPr>
          <w:lang w:val="en-GB"/>
        </w:rPr>
        <w:t xml:space="preserve"> for each defined CC</w:t>
      </w:r>
      <w:r w:rsidRPr="000631A9">
        <w:rPr>
          <w:lang w:val="en-GB"/>
        </w:rPr>
        <w:t>.</w:t>
      </w:r>
      <w:r w:rsidR="007C6E89" w:rsidRPr="000631A9">
        <w:rPr>
          <w:lang w:val="en-GB"/>
        </w:rPr>
        <w:t xml:space="preserve"> </w:t>
      </w:r>
      <w:r w:rsidR="00066E4B" w:rsidRPr="000631A9">
        <w:rPr>
          <w:lang w:val="en-GB"/>
        </w:rPr>
        <w:t xml:space="preserve">In the UL different CCs will </w:t>
      </w:r>
      <w:r w:rsidR="008146A0" w:rsidRPr="000631A9">
        <w:rPr>
          <w:lang w:val="en-GB"/>
        </w:rPr>
        <w:t xml:space="preserve">however </w:t>
      </w:r>
      <w:r w:rsidR="00066E4B" w:rsidRPr="000631A9">
        <w:rPr>
          <w:lang w:val="en-GB"/>
        </w:rPr>
        <w:t xml:space="preserve">apply at a </w:t>
      </w:r>
      <w:r w:rsidR="008146A0" w:rsidRPr="000631A9">
        <w:rPr>
          <w:lang w:val="en-GB"/>
        </w:rPr>
        <w:t>given</w:t>
      </w:r>
      <w:r w:rsidR="00066E4B" w:rsidRPr="000631A9">
        <w:rPr>
          <w:lang w:val="en-GB"/>
        </w:rPr>
        <w:t xml:space="preserve"> coverage extension</w:t>
      </w:r>
      <w:r w:rsidR="008146A0" w:rsidRPr="000631A9">
        <w:rPr>
          <w:lang w:val="en-GB"/>
        </w:rPr>
        <w:t xml:space="preserve"> for 23 and 33 dBm devices.</w:t>
      </w:r>
      <w:r w:rsidR="00066E4B" w:rsidRPr="000631A9">
        <w:rPr>
          <w:lang w:val="en-GB"/>
        </w:rPr>
        <w:t xml:space="preserve"> </w:t>
      </w:r>
      <w:r w:rsidR="007C6E89" w:rsidRPr="000631A9">
        <w:rPr>
          <w:lang w:val="en-GB"/>
        </w:rPr>
        <w:t xml:space="preserve">The DL will still be able to transmit with the same DL power irrespective of MS output power, and hence comparing the </w:t>
      </w:r>
      <w:r w:rsidR="007B5B8D" w:rsidRPr="000631A9">
        <w:rPr>
          <w:lang w:val="en-GB"/>
        </w:rPr>
        <w:t xml:space="preserve">UL and DL </w:t>
      </w:r>
      <w:r w:rsidR="007C6E89" w:rsidRPr="000631A9">
        <w:rPr>
          <w:lang w:val="en-GB"/>
        </w:rPr>
        <w:t>coverage class alignment between 23 dBm and 33 dBm devices, some differences are expected.</w:t>
      </w:r>
      <w:r w:rsidR="00817595" w:rsidRPr="000631A9">
        <w:rPr>
          <w:lang w:val="en-GB"/>
        </w:rPr>
        <w:t xml:space="preserve"> Specifically the UL and DL coverage class </w:t>
      </w:r>
      <w:r w:rsidR="00FD7080" w:rsidRPr="000631A9">
        <w:rPr>
          <w:lang w:val="en-GB"/>
        </w:rPr>
        <w:t xml:space="preserve">selection </w:t>
      </w:r>
      <w:r w:rsidR="00817595" w:rsidRPr="000631A9">
        <w:rPr>
          <w:lang w:val="en-GB"/>
        </w:rPr>
        <w:t xml:space="preserve">are expected to differ more, </w:t>
      </w:r>
      <w:r w:rsidR="002C1828" w:rsidRPr="000631A9">
        <w:rPr>
          <w:lang w:val="en-GB"/>
        </w:rPr>
        <w:t>for the 23 dBm case, but the differen</w:t>
      </w:r>
      <w:r w:rsidR="00751B80" w:rsidRPr="000631A9">
        <w:rPr>
          <w:lang w:val="en-GB"/>
        </w:rPr>
        <w:t>ce</w:t>
      </w:r>
      <w:r w:rsidR="002C1828" w:rsidRPr="000631A9">
        <w:rPr>
          <w:lang w:val="en-GB"/>
        </w:rPr>
        <w:t xml:space="preserve"> is not necessarily the same for different logical channels</w:t>
      </w:r>
      <w:r w:rsidR="00D474C0" w:rsidRPr="000631A9">
        <w:rPr>
          <w:lang w:val="en-GB"/>
        </w:rPr>
        <w:t xml:space="preserve"> (since there is not a 10 dB difference in coupling loss aimed for by the different CCs)</w:t>
      </w:r>
      <w:r w:rsidR="002C1828" w:rsidRPr="000631A9">
        <w:rPr>
          <w:lang w:val="en-GB"/>
        </w:rPr>
        <w:t>.</w:t>
      </w:r>
    </w:p>
    <w:p w:rsidR="001F03AB" w:rsidRPr="000631A9" w:rsidRDefault="001F03AB" w:rsidP="001F03AB">
      <w:pPr>
        <w:pStyle w:val="Heading1"/>
      </w:pPr>
      <w:r w:rsidRPr="000631A9">
        <w:t xml:space="preserve">Considerations on different </w:t>
      </w:r>
      <w:r w:rsidR="00551707" w:rsidRPr="000631A9">
        <w:t xml:space="preserve">link </w:t>
      </w:r>
      <w:r w:rsidRPr="000631A9">
        <w:t>directions</w:t>
      </w:r>
    </w:p>
    <w:p w:rsidR="001F03AB" w:rsidRPr="000631A9" w:rsidRDefault="00C566CE" w:rsidP="001F03AB">
      <w:pPr>
        <w:rPr>
          <w:lang w:val="en-GB"/>
        </w:rPr>
      </w:pPr>
      <w:r w:rsidRPr="000631A9">
        <w:rPr>
          <w:lang w:val="en-GB"/>
        </w:rPr>
        <w:t xml:space="preserve">It is of most importance to align coverage classes in a specific direction. </w:t>
      </w:r>
      <w:r w:rsidR="000043BD" w:rsidRPr="000631A9">
        <w:rPr>
          <w:lang w:val="en-GB"/>
        </w:rPr>
        <w:t>T</w:t>
      </w:r>
      <w:r w:rsidR="00C75EF2" w:rsidRPr="000631A9">
        <w:rPr>
          <w:lang w:val="en-GB"/>
        </w:rPr>
        <w:t xml:space="preserve">he used power on the UL will not be the same for different devices (33 dBm or 23 dBm output power) or </w:t>
      </w:r>
      <w:r w:rsidR="00BC65F4" w:rsidRPr="000631A9">
        <w:rPr>
          <w:lang w:val="en-GB"/>
        </w:rPr>
        <w:t xml:space="preserve">on the DL </w:t>
      </w:r>
      <w:r w:rsidR="00C75EF2" w:rsidRPr="000631A9">
        <w:rPr>
          <w:lang w:val="en-GB"/>
        </w:rPr>
        <w:t xml:space="preserve">over different cells (different maximum nominal </w:t>
      </w:r>
      <w:r w:rsidR="000043BD" w:rsidRPr="000631A9">
        <w:rPr>
          <w:lang w:val="en-GB"/>
        </w:rPr>
        <w:t>output power</w:t>
      </w:r>
      <w:r w:rsidR="00C75EF2" w:rsidRPr="000631A9">
        <w:rPr>
          <w:lang w:val="en-GB"/>
        </w:rPr>
        <w:t xml:space="preserve"> configured on BCCH).</w:t>
      </w:r>
      <w:r w:rsidR="000043BD" w:rsidRPr="000631A9">
        <w:rPr>
          <w:lang w:val="en-GB"/>
        </w:rPr>
        <w:t xml:space="preserve"> The network will, through System Information control if a more or less aggressive setting of the coverage class thresholds will be used, in each direction.</w:t>
      </w:r>
      <w:r w:rsidR="00C955AD" w:rsidRPr="000631A9">
        <w:rPr>
          <w:lang w:val="en-GB"/>
        </w:rPr>
        <w:t xml:space="preserve"> Hence, the investigation will be focused on aligning the coverage </w:t>
      </w:r>
      <w:r w:rsidR="00751B80" w:rsidRPr="000631A9">
        <w:rPr>
          <w:lang w:val="en-GB"/>
        </w:rPr>
        <w:t xml:space="preserve">classes </w:t>
      </w:r>
      <w:r w:rsidR="00C955AD" w:rsidRPr="000631A9">
        <w:rPr>
          <w:lang w:val="en-GB"/>
        </w:rPr>
        <w:t>between logical channels in the same direction.</w:t>
      </w:r>
    </w:p>
    <w:p w:rsidR="00970BD1" w:rsidRPr="000631A9" w:rsidRDefault="000B709F" w:rsidP="00CD48F8">
      <w:pPr>
        <w:pStyle w:val="Heading1"/>
      </w:pPr>
      <w:r w:rsidRPr="000631A9">
        <w:t>Simulations</w:t>
      </w:r>
    </w:p>
    <w:p w:rsidR="000B709F" w:rsidRPr="000631A9" w:rsidRDefault="000B709F" w:rsidP="000B709F">
      <w:pPr>
        <w:pStyle w:val="Heading2"/>
      </w:pPr>
      <w:r w:rsidRPr="000631A9">
        <w:t>Assumptions</w:t>
      </w:r>
    </w:p>
    <w:p w:rsidR="001B40AC" w:rsidRPr="000631A9" w:rsidRDefault="001B40AC" w:rsidP="001B40AC">
      <w:pPr>
        <w:pStyle w:val="BodyText"/>
        <w:rPr>
          <w:lang w:val="en-GB"/>
        </w:rPr>
      </w:pPr>
      <w:r w:rsidRPr="000631A9">
        <w:rPr>
          <w:lang w:val="en-GB"/>
        </w:rPr>
        <w:t xml:space="preserve">Simulation assumptions follow the ones in Annex C of </w:t>
      </w:r>
      <w:r w:rsidRPr="000631A9">
        <w:fldChar w:fldCharType="begin"/>
      </w:r>
      <w:r w:rsidRPr="000631A9">
        <w:rPr>
          <w:lang w:val="en-GB"/>
        </w:rPr>
        <w:instrText xml:space="preserve"> REF _Ref433016511 \r \h </w:instrText>
      </w:r>
      <w:r w:rsidRPr="000631A9">
        <w:fldChar w:fldCharType="separate"/>
      </w:r>
      <w:r w:rsidR="00E138CB">
        <w:rPr>
          <w:lang w:val="en-GB"/>
        </w:rPr>
        <w:t>[3]</w:t>
      </w:r>
      <w:r w:rsidRPr="000631A9">
        <w:fldChar w:fldCharType="end"/>
      </w:r>
      <w:r w:rsidRPr="000631A9">
        <w:rPr>
          <w:lang w:val="en-GB"/>
        </w:rPr>
        <w:t xml:space="preserve">. In addition to these, some parameters are shown in </w:t>
      </w:r>
      <w:r w:rsidRPr="000631A9">
        <w:fldChar w:fldCharType="begin"/>
      </w:r>
      <w:r w:rsidRPr="000631A9">
        <w:rPr>
          <w:lang w:val="en-GB"/>
        </w:rPr>
        <w:instrText xml:space="preserve"> REF _Ref433020901 \h </w:instrText>
      </w:r>
      <w:r w:rsidRPr="000631A9">
        <w:fldChar w:fldCharType="separate"/>
      </w:r>
      <w:r w:rsidR="00E138CB" w:rsidRPr="000631A9">
        <w:t xml:space="preserve">Table </w:t>
      </w:r>
      <w:r w:rsidR="00E138CB">
        <w:rPr>
          <w:noProof/>
        </w:rPr>
        <w:t>2</w:t>
      </w:r>
      <w:r w:rsidRPr="000631A9">
        <w:fldChar w:fldCharType="end"/>
      </w:r>
      <w:r w:rsidRPr="000631A9">
        <w:rPr>
          <w:lang w:val="en-GB"/>
        </w:rPr>
        <w:t xml:space="preserve">. </w:t>
      </w:r>
      <w:bookmarkStart w:id="0" w:name="_GoBack"/>
      <w:bookmarkEnd w:id="0"/>
    </w:p>
    <w:p w:rsidR="001B40AC" w:rsidRPr="000631A9" w:rsidRDefault="001B40AC" w:rsidP="00E138CB">
      <w:pPr>
        <w:pStyle w:val="Caption"/>
        <w:keepNext/>
      </w:pPr>
      <w:bookmarkStart w:id="1" w:name="_Ref433020901"/>
      <w:r w:rsidRPr="000631A9">
        <w:lastRenderedPageBreak/>
        <w:t xml:space="preserve">Table </w:t>
      </w:r>
      <w:r w:rsidR="0093335B">
        <w:fldChar w:fldCharType="begin"/>
      </w:r>
      <w:r w:rsidR="0093335B">
        <w:instrText xml:space="preserve"> SEQ Table \* ARABIC </w:instrText>
      </w:r>
      <w:r w:rsidR="0093335B">
        <w:fldChar w:fldCharType="separate"/>
      </w:r>
      <w:r w:rsidR="00E138CB">
        <w:rPr>
          <w:noProof/>
        </w:rPr>
        <w:t>2</w:t>
      </w:r>
      <w:r w:rsidR="0093335B">
        <w:rPr>
          <w:noProof/>
        </w:rPr>
        <w:fldChar w:fldCharType="end"/>
      </w:r>
      <w:bookmarkEnd w:id="1"/>
      <w:r w:rsidRPr="000631A9">
        <w:t>: Simulation parameters</w:t>
      </w:r>
    </w:p>
    <w:tbl>
      <w:tblPr>
        <w:tblStyle w:val="TableGrid"/>
        <w:tblW w:w="0" w:type="auto"/>
        <w:jc w:val="center"/>
        <w:tblLook w:val="04A0" w:firstRow="1" w:lastRow="0" w:firstColumn="1" w:lastColumn="0" w:noHBand="0" w:noVBand="1"/>
      </w:tblPr>
      <w:tblGrid>
        <w:gridCol w:w="3128"/>
        <w:gridCol w:w="4242"/>
      </w:tblGrid>
      <w:tr w:rsidR="000631A9" w:rsidRPr="000631A9" w:rsidTr="001333CA">
        <w:trPr>
          <w:jc w:val="center"/>
        </w:trPr>
        <w:tc>
          <w:tcPr>
            <w:tcW w:w="3128" w:type="dxa"/>
            <w:shd w:val="clear" w:color="auto" w:fill="B8CCE4" w:themeFill="accent1" w:themeFillTint="66"/>
          </w:tcPr>
          <w:p w:rsidR="001333CA" w:rsidRPr="000631A9" w:rsidRDefault="001333CA" w:rsidP="00E138CB">
            <w:pPr>
              <w:keepNext/>
            </w:pPr>
            <w:r w:rsidRPr="000631A9">
              <w:t>Parameter</w:t>
            </w:r>
          </w:p>
        </w:tc>
        <w:tc>
          <w:tcPr>
            <w:tcW w:w="4242" w:type="dxa"/>
            <w:shd w:val="clear" w:color="auto" w:fill="B8CCE4" w:themeFill="accent1" w:themeFillTint="66"/>
          </w:tcPr>
          <w:p w:rsidR="001333CA" w:rsidRPr="000631A9" w:rsidRDefault="001333CA" w:rsidP="00E138CB">
            <w:pPr>
              <w:keepNext/>
            </w:pPr>
            <w:r w:rsidRPr="000631A9">
              <w:t>Value</w:t>
            </w:r>
          </w:p>
        </w:tc>
      </w:tr>
      <w:tr w:rsidR="000631A9" w:rsidRPr="000631A9" w:rsidTr="001333CA">
        <w:trPr>
          <w:jc w:val="center"/>
        </w:trPr>
        <w:tc>
          <w:tcPr>
            <w:tcW w:w="3128" w:type="dxa"/>
          </w:tcPr>
          <w:p w:rsidR="001333CA" w:rsidRPr="000631A9" w:rsidRDefault="001333CA" w:rsidP="00E138CB">
            <w:pPr>
              <w:keepNext/>
            </w:pPr>
            <w:r w:rsidRPr="000631A9">
              <w:t>Frequency offset</w:t>
            </w:r>
          </w:p>
        </w:tc>
        <w:tc>
          <w:tcPr>
            <w:tcW w:w="4242" w:type="dxa"/>
          </w:tcPr>
          <w:p w:rsidR="001333CA" w:rsidRPr="000631A9" w:rsidRDefault="001333CA" w:rsidP="00E138CB">
            <w:pPr>
              <w:keepNext/>
            </w:pPr>
            <w:r w:rsidRPr="000631A9">
              <w:t>N(0,10)</w:t>
            </w:r>
          </w:p>
        </w:tc>
      </w:tr>
      <w:tr w:rsidR="001333CA" w:rsidRPr="000631A9" w:rsidTr="001333CA">
        <w:trPr>
          <w:jc w:val="center"/>
        </w:trPr>
        <w:tc>
          <w:tcPr>
            <w:tcW w:w="3128" w:type="dxa"/>
          </w:tcPr>
          <w:p w:rsidR="001333CA" w:rsidRPr="000631A9" w:rsidRDefault="001333CA" w:rsidP="00E138CB">
            <w:pPr>
              <w:keepNext/>
              <w:rPr>
                <w:lang w:val="en-GB"/>
              </w:rPr>
            </w:pPr>
            <w:r w:rsidRPr="000631A9">
              <w:rPr>
                <w:lang w:val="en-GB"/>
              </w:rPr>
              <w:t>IQ accumulation in the receiver</w:t>
            </w:r>
          </w:p>
        </w:tc>
        <w:tc>
          <w:tcPr>
            <w:tcW w:w="4242" w:type="dxa"/>
          </w:tcPr>
          <w:p w:rsidR="001333CA" w:rsidRPr="000631A9" w:rsidRDefault="001333CA" w:rsidP="00E138CB">
            <w:pPr>
              <w:pStyle w:val="TableStyle"/>
              <w:keepNext/>
              <w:numPr>
                <w:ilvl w:val="0"/>
                <w:numId w:val="18"/>
              </w:numPr>
              <w:rPr>
                <w:sz w:val="18"/>
              </w:rPr>
            </w:pPr>
            <w:r w:rsidRPr="000631A9">
              <w:rPr>
                <w:sz w:val="18"/>
              </w:rPr>
              <w:t xml:space="preserve">Estimates a random phase by correlation between TDMA frames. </w:t>
            </w:r>
          </w:p>
          <w:p w:rsidR="001333CA" w:rsidRPr="000631A9" w:rsidRDefault="001333CA" w:rsidP="00E138CB">
            <w:pPr>
              <w:pStyle w:val="TableStyle"/>
              <w:keepNext/>
              <w:numPr>
                <w:ilvl w:val="0"/>
                <w:numId w:val="18"/>
              </w:numPr>
              <w:rPr>
                <w:sz w:val="18"/>
              </w:rPr>
            </w:pPr>
            <w:r w:rsidRPr="000631A9">
              <w:rPr>
                <w:sz w:val="18"/>
              </w:rPr>
              <w:t>IQ accumulation without frequency offset compensation within TDMA frame</w:t>
            </w:r>
          </w:p>
          <w:p w:rsidR="001333CA" w:rsidRPr="000631A9" w:rsidRDefault="001333CA" w:rsidP="00E138CB">
            <w:pPr>
              <w:pStyle w:val="TableStyle"/>
              <w:keepNext/>
              <w:numPr>
                <w:ilvl w:val="0"/>
                <w:numId w:val="18"/>
              </w:numPr>
              <w:rPr>
                <w:sz w:val="18"/>
              </w:rPr>
            </w:pPr>
            <w:r w:rsidRPr="000631A9">
              <w:rPr>
                <w:sz w:val="18"/>
              </w:rPr>
              <w:t>No frequency offset identified</w:t>
            </w:r>
          </w:p>
        </w:tc>
      </w:tr>
    </w:tbl>
    <w:p w:rsidR="001333CA" w:rsidRPr="000631A9" w:rsidRDefault="001333CA" w:rsidP="001B40AC"/>
    <w:p w:rsidR="006559EB" w:rsidRPr="000631A9" w:rsidRDefault="008F71A6" w:rsidP="00254FD3">
      <w:pPr>
        <w:pStyle w:val="BodyText"/>
        <w:rPr>
          <w:lang w:val="en-GB"/>
        </w:rPr>
      </w:pPr>
      <w:r w:rsidRPr="000631A9">
        <w:rPr>
          <w:lang w:val="en-GB"/>
        </w:rPr>
        <w:t xml:space="preserve">The IQ accumulation is done as described below. </w:t>
      </w:r>
      <w:r w:rsidR="001B40AC" w:rsidRPr="000631A9">
        <w:rPr>
          <w:lang w:val="en-GB"/>
        </w:rPr>
        <w:t xml:space="preserve">It can be noted that there can be several more implementations possible, but the </w:t>
      </w:r>
      <w:r w:rsidR="006559EB" w:rsidRPr="000631A9">
        <w:rPr>
          <w:lang w:val="en-GB"/>
        </w:rPr>
        <w:t>one used</w:t>
      </w:r>
      <w:r w:rsidR="001B40AC" w:rsidRPr="000631A9">
        <w:rPr>
          <w:lang w:val="en-GB"/>
        </w:rPr>
        <w:t xml:space="preserve"> represent </w:t>
      </w:r>
      <w:r w:rsidR="006559EB" w:rsidRPr="000631A9">
        <w:rPr>
          <w:lang w:val="en-GB"/>
        </w:rPr>
        <w:t>one</w:t>
      </w:r>
      <w:r w:rsidR="001B40AC" w:rsidRPr="000631A9">
        <w:rPr>
          <w:lang w:val="en-GB"/>
        </w:rPr>
        <w:t xml:space="preserve"> possible implementation</w:t>
      </w:r>
      <w:r w:rsidR="006559EB" w:rsidRPr="000631A9">
        <w:rPr>
          <w:lang w:val="en-GB"/>
        </w:rPr>
        <w:t xml:space="preserve"> option</w:t>
      </w:r>
      <w:r w:rsidR="001B40AC" w:rsidRPr="000631A9">
        <w:rPr>
          <w:lang w:val="en-GB"/>
        </w:rPr>
        <w:t xml:space="preserve">. </w:t>
      </w:r>
    </w:p>
    <w:p w:rsidR="001B40AC" w:rsidRPr="000631A9" w:rsidRDefault="001B40AC" w:rsidP="00254FD3">
      <w:pPr>
        <w:pStyle w:val="BodyText"/>
        <w:rPr>
          <w:lang w:val="en-GB"/>
        </w:rPr>
      </w:pPr>
      <w:r w:rsidRPr="000631A9">
        <w:rPr>
          <w:lang w:val="en-GB"/>
        </w:rPr>
        <w:t xml:space="preserve">In general a correlator based estimator is used that estimates the phase difference between two consecutive bursts. </w:t>
      </w:r>
    </w:p>
    <w:p w:rsidR="001B40AC" w:rsidRPr="000631A9" w:rsidRDefault="001B40AC" w:rsidP="001B40AC">
      <w:pPr>
        <w:pStyle w:val="BodyText"/>
        <w:rPr>
          <w:rFonts w:eastAsiaTheme="minorEastAsia"/>
          <w:lang w:eastAsia="ko-KR"/>
        </w:rPr>
      </w:pPr>
      <m:oMathPara>
        <m:oMath>
          <m:r>
            <w:rPr>
              <w:rFonts w:ascii="Cambria Math" w:hAnsi="Cambria Math"/>
              <w:lang w:eastAsia="ko-KR"/>
            </w:rPr>
            <m:t>∅=angle</m:t>
          </m:r>
          <m:d>
            <m:dPr>
              <m:ctrlPr>
                <w:rPr>
                  <w:rFonts w:ascii="Cambria Math" w:hAnsi="Cambria Math"/>
                  <w:i/>
                  <w:lang w:eastAsia="ko-KR"/>
                </w:rPr>
              </m:ctrlPr>
            </m:dPr>
            <m:e>
              <m:nary>
                <m:naryPr>
                  <m:chr m:val="∑"/>
                  <m:limLoc m:val="undOvr"/>
                  <m:ctrlPr>
                    <w:rPr>
                      <w:rFonts w:ascii="Cambria Math" w:hAnsi="Cambria Math"/>
                      <w:i/>
                      <w:lang w:eastAsia="ko-KR"/>
                    </w:rPr>
                  </m:ctrlPr>
                </m:naryPr>
                <m:sub>
                  <m:r>
                    <w:rPr>
                      <w:rFonts w:ascii="Cambria Math" w:hAnsi="Cambria Math"/>
                      <w:lang w:eastAsia="ko-KR"/>
                    </w:rPr>
                    <m:t>n=1</m:t>
                  </m:r>
                </m:sub>
                <m:sup>
                  <m:r>
                    <w:rPr>
                      <w:rFonts w:ascii="Cambria Math" w:hAnsi="Cambria Math"/>
                      <w:lang w:eastAsia="ko-KR"/>
                    </w:rPr>
                    <m:t>L</m:t>
                  </m:r>
                </m:sup>
                <m:e>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b,n</m:t>
                          </m:r>
                        </m:sub>
                      </m:sSub>
                      <m:r>
                        <w:rPr>
                          <w:rFonts w:ascii="Cambria Math" w:hAnsi="Cambria Math"/>
                          <w:lang w:eastAsia="ko-KR"/>
                        </w:rPr>
                        <m:t>e</m:t>
                      </m:r>
                    </m:e>
                    <m:sup>
                      <m:r>
                        <w:rPr>
                          <w:rFonts w:ascii="Cambria Math" w:hAnsi="Cambria Math"/>
                          <w:lang w:eastAsia="ko-KR"/>
                        </w:rPr>
                        <m:t>-i</m:t>
                      </m:r>
                      <m:sSub>
                        <m:sSubPr>
                          <m:ctrlPr>
                            <w:rPr>
                              <w:rFonts w:ascii="Cambria Math" w:hAnsi="Cambria Math"/>
                              <w:i/>
                              <w:lang w:eastAsia="ko-KR"/>
                            </w:rPr>
                          </m:ctrlPr>
                        </m:sSubPr>
                        <m:e>
                          <m:r>
                            <w:rPr>
                              <w:rFonts w:ascii="Cambria Math" w:hAnsi="Cambria Math"/>
                              <w:lang w:eastAsia="ko-KR"/>
                            </w:rPr>
                            <m:t>(ω</m:t>
                          </m:r>
                        </m:e>
                        <m:sub>
                          <m:r>
                            <w:rPr>
                              <w:rFonts w:ascii="Cambria Math" w:hAnsi="Cambria Math"/>
                              <w:lang w:eastAsia="ko-KR"/>
                            </w:rPr>
                            <m:t>c</m:t>
                          </m:r>
                        </m:sub>
                      </m:sSub>
                      <m:r>
                        <w:rPr>
                          <w:rFonts w:ascii="Cambria Math" w:hAnsi="Cambria Math"/>
                          <w:lang w:eastAsia="ko-KR"/>
                        </w:rPr>
                        <m:t>+∆ω)</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b,n</m:t>
                          </m:r>
                        </m:sub>
                      </m:sSub>
                    </m:sup>
                  </m:sSup>
                  <m:r>
                    <w:rPr>
                      <w:rFonts w:ascii="Cambria Math" w:hAnsi="Cambria Math"/>
                      <w:lang w:eastAsia="ko-KR"/>
                    </w:rPr>
                    <m:t>∙conj</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s</m:t>
                          </m:r>
                        </m:e>
                        <m:sub>
                          <m:r>
                            <w:rPr>
                              <w:rFonts w:ascii="Cambria Math" w:hAnsi="Cambria Math"/>
                              <w:lang w:eastAsia="ko-KR"/>
                            </w:rPr>
                            <m:t>b+1,n</m:t>
                          </m:r>
                        </m:sub>
                      </m:sSub>
                      <m:sSup>
                        <m:sSupPr>
                          <m:ctrlPr>
                            <w:rPr>
                              <w:rFonts w:ascii="Cambria Math" w:hAnsi="Cambria Math"/>
                              <w:i/>
                              <w:lang w:eastAsia="ko-KR"/>
                            </w:rPr>
                          </m:ctrlPr>
                        </m:sSupPr>
                        <m:e>
                          <m:r>
                            <w:rPr>
                              <w:rFonts w:ascii="Cambria Math" w:hAnsi="Cambria Math"/>
                              <w:lang w:eastAsia="ko-KR"/>
                            </w:rPr>
                            <m:t>e</m:t>
                          </m:r>
                        </m:e>
                        <m:sup>
                          <m:r>
                            <w:rPr>
                              <w:rFonts w:ascii="Cambria Math" w:hAnsi="Cambria Math"/>
                              <w:lang w:eastAsia="ko-KR"/>
                            </w:rPr>
                            <m:t>-i</m:t>
                          </m:r>
                          <m:sSub>
                            <m:sSubPr>
                              <m:ctrlPr>
                                <w:rPr>
                                  <w:rFonts w:ascii="Cambria Math" w:hAnsi="Cambria Math"/>
                                  <w:i/>
                                  <w:lang w:eastAsia="ko-KR"/>
                                </w:rPr>
                              </m:ctrlPr>
                            </m:sSubPr>
                            <m:e>
                              <m:r>
                                <w:rPr>
                                  <w:rFonts w:ascii="Cambria Math" w:hAnsi="Cambria Math"/>
                                  <w:lang w:eastAsia="ko-KR"/>
                                </w:rPr>
                                <m:t>(ω</m:t>
                              </m:r>
                            </m:e>
                            <m:sub>
                              <m:r>
                                <w:rPr>
                                  <w:rFonts w:ascii="Cambria Math" w:hAnsi="Cambria Math"/>
                                  <w:lang w:eastAsia="ko-KR"/>
                                </w:rPr>
                                <m:t>c</m:t>
                              </m:r>
                            </m:sub>
                          </m:sSub>
                          <m:sSub>
                            <m:sSubPr>
                              <m:ctrlPr>
                                <w:rPr>
                                  <w:rFonts w:ascii="Cambria Math" w:hAnsi="Cambria Math"/>
                                  <w:i/>
                                  <w:lang w:eastAsia="ko-KR"/>
                                </w:rPr>
                              </m:ctrlPr>
                            </m:sSubPr>
                            <m:e>
                              <m:r>
                                <w:rPr>
                                  <w:rFonts w:ascii="Cambria Math" w:hAnsi="Cambria Math"/>
                                  <w:lang w:eastAsia="ko-KR"/>
                                </w:rPr>
                                <m:t>+∆ω)t</m:t>
                              </m:r>
                            </m:e>
                            <m:sub>
                              <m:r>
                                <w:rPr>
                                  <w:rFonts w:ascii="Cambria Math" w:hAnsi="Cambria Math"/>
                                  <w:lang w:eastAsia="ko-KR"/>
                                </w:rPr>
                                <m:t>b+1, n</m:t>
                              </m:r>
                            </m:sub>
                          </m:sSub>
                        </m:sup>
                      </m:sSup>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w</m:t>
                      </m:r>
                    </m:e>
                    <m:sub>
                      <m:r>
                        <w:rPr>
                          <w:rFonts w:ascii="Cambria Math" w:hAnsi="Cambria Math"/>
                          <w:lang w:eastAsia="ko-KR"/>
                        </w:rPr>
                        <m:t>n</m:t>
                      </m:r>
                    </m:sub>
                  </m:sSub>
                </m:e>
              </m:nary>
            </m:e>
          </m:d>
          <m:r>
            <w:rPr>
              <w:rFonts w:ascii="Cambria Math" w:hAnsi="Cambria Math"/>
              <w:lang w:eastAsia="ko-KR"/>
            </w:rPr>
            <m:t xml:space="preserve">= </m:t>
          </m:r>
        </m:oMath>
      </m:oMathPara>
    </w:p>
    <w:p w:rsidR="001B40AC" w:rsidRPr="000631A9" w:rsidRDefault="001B40AC" w:rsidP="001B40AC">
      <w:pPr>
        <w:pStyle w:val="BodyText"/>
        <w:rPr>
          <w:lang w:eastAsia="ko-KR"/>
        </w:rPr>
      </w:pPr>
      <m:oMathPara>
        <m:oMath>
          <m:r>
            <w:rPr>
              <w:rFonts w:ascii="Cambria Math" w:hAnsi="Cambria Math"/>
              <w:lang w:eastAsia="ko-KR"/>
            </w:rPr>
            <m:t xml:space="preserve"> =angle</m:t>
          </m:r>
          <m:d>
            <m:dPr>
              <m:ctrlPr>
                <w:rPr>
                  <w:rFonts w:ascii="Cambria Math" w:hAnsi="Cambria Math"/>
                  <w:i/>
                  <w:lang w:eastAsia="ko-KR"/>
                </w:rPr>
              </m:ctrlPr>
            </m:dPr>
            <m:e>
              <m:sSup>
                <m:sSupPr>
                  <m:ctrlPr>
                    <w:rPr>
                      <w:rFonts w:ascii="Cambria Math" w:hAnsi="Cambria Math"/>
                      <w:i/>
                      <w:lang w:eastAsia="ko-KR"/>
                    </w:rPr>
                  </m:ctrlPr>
                </m:sSupPr>
                <m:e>
                  <m:d>
                    <m:dPr>
                      <m:begChr m:val="|"/>
                      <m:endChr m:val="|"/>
                      <m:ctrlPr>
                        <w:rPr>
                          <w:rFonts w:ascii="Cambria Math" w:hAnsi="Cambria Math"/>
                          <w:i/>
                          <w:lang w:eastAsia="ko-KR"/>
                        </w:rPr>
                      </m:ctrlPr>
                    </m:dPr>
                    <m:e>
                      <m:r>
                        <w:rPr>
                          <w:rFonts w:ascii="Cambria Math" w:hAnsi="Cambria Math"/>
                          <w:lang w:eastAsia="ko-KR"/>
                        </w:rPr>
                        <m:t>s</m:t>
                      </m:r>
                    </m:e>
                  </m:d>
                </m:e>
                <m:sup>
                  <m:r>
                    <w:rPr>
                      <w:rFonts w:ascii="Cambria Math" w:hAnsi="Cambria Math"/>
                      <w:lang w:eastAsia="ko-KR"/>
                    </w:rPr>
                    <m:t>2</m:t>
                  </m:r>
                </m:sup>
              </m:sSup>
              <m:sSup>
                <m:sSupPr>
                  <m:ctrlPr>
                    <w:rPr>
                      <w:rFonts w:ascii="Cambria Math" w:hAnsi="Cambria Math"/>
                      <w:i/>
                      <w:lang w:eastAsia="ko-KR"/>
                    </w:rPr>
                  </m:ctrlPr>
                </m:sSupPr>
                <m:e>
                  <m:r>
                    <w:rPr>
                      <w:rFonts w:ascii="Cambria Math" w:hAnsi="Cambria Math"/>
                      <w:lang w:eastAsia="ko-KR"/>
                    </w:rPr>
                    <m:t>e</m:t>
                  </m:r>
                </m:e>
                <m:sup>
                  <m:r>
                    <w:rPr>
                      <w:rFonts w:ascii="Cambria Math" w:hAnsi="Cambria Math"/>
                      <w:lang w:eastAsia="ko-KR"/>
                    </w:rPr>
                    <m:t>θj</m:t>
                  </m:r>
                </m:sup>
              </m:sSup>
              <m:r>
                <w:rPr>
                  <w:rFonts w:ascii="Cambria Math" w:hAnsi="Cambria Math"/>
                  <w:lang w:eastAsia="ko-KR"/>
                </w:rPr>
                <m:t>+z</m:t>
              </m:r>
            </m:e>
          </m:d>
        </m:oMath>
      </m:oMathPara>
    </w:p>
    <w:p w:rsidR="001B40AC" w:rsidRPr="000631A9" w:rsidRDefault="001B40AC" w:rsidP="001B40AC">
      <w:pPr>
        <w:pStyle w:val="BodyText"/>
        <w:rPr>
          <w:lang w:val="en-GB" w:eastAsia="ko-KR"/>
        </w:rPr>
      </w:pPr>
      <w:r w:rsidRPr="000631A9">
        <w:rPr>
          <w:lang w:val="en-GB"/>
        </w:rPr>
        <w:t xml:space="preserve">The equation shows the principle of estimating a phase shift </w:t>
      </w:r>
      <m:oMath>
        <m:r>
          <w:rPr>
            <w:rFonts w:ascii="Cambria Math" w:hAnsi="Cambria Math"/>
            <w:lang w:val="en-GB" w:eastAsia="ko-KR"/>
          </w:rPr>
          <m:t>∅</m:t>
        </m:r>
      </m:oMath>
      <w:r w:rsidRPr="000631A9">
        <w:rPr>
          <w:lang w:val="en-GB" w:eastAsia="ko-KR"/>
        </w:rPr>
        <w:t xml:space="preserve"> caused by a constant </w:t>
      </w:r>
      <w:r w:rsidRPr="000631A9">
        <w:rPr>
          <w:lang w:val="en-GB"/>
        </w:rPr>
        <w:t xml:space="preserve">frequency offset </w:t>
      </w:r>
      <m:oMath>
        <m:r>
          <w:rPr>
            <w:rFonts w:ascii="Cambria Math" w:hAnsi="Cambria Math"/>
            <w:lang w:val="en-GB" w:eastAsia="ko-KR"/>
          </w:rPr>
          <m:t>∆</m:t>
        </m:r>
        <m:r>
          <w:rPr>
            <w:rFonts w:ascii="Cambria Math" w:hAnsi="Cambria Math"/>
            <w:lang w:eastAsia="ko-KR"/>
          </w:rPr>
          <m:t>ω</m:t>
        </m:r>
      </m:oMath>
      <w:r w:rsidRPr="000631A9">
        <w:rPr>
          <w:lang w:val="en-GB" w:eastAsia="ko-KR"/>
        </w:rPr>
        <w:t xml:space="preserve"> over two consecutive bursts </w:t>
      </w:r>
      <w:proofErr w:type="spellStart"/>
      <w:r w:rsidRPr="000631A9">
        <w:rPr>
          <w:i/>
          <w:lang w:val="en-GB" w:eastAsia="ko-KR"/>
        </w:rPr>
        <w:t>s</w:t>
      </w:r>
      <w:r w:rsidRPr="000631A9">
        <w:rPr>
          <w:i/>
          <w:vertAlign w:val="subscript"/>
          <w:lang w:val="en-GB" w:eastAsia="ko-KR"/>
        </w:rPr>
        <w:t>b</w:t>
      </w:r>
      <w:proofErr w:type="spellEnd"/>
      <w:r w:rsidRPr="000631A9">
        <w:rPr>
          <w:lang w:val="en-GB" w:eastAsia="ko-KR"/>
        </w:rPr>
        <w:t xml:space="preserve">, and </w:t>
      </w:r>
      <w:r w:rsidRPr="000631A9">
        <w:rPr>
          <w:i/>
          <w:lang w:val="en-GB" w:eastAsia="ko-KR"/>
        </w:rPr>
        <w:t>s</w:t>
      </w:r>
      <w:r w:rsidRPr="000631A9">
        <w:rPr>
          <w:i/>
          <w:vertAlign w:val="subscript"/>
          <w:lang w:val="en-GB" w:eastAsia="ko-KR"/>
        </w:rPr>
        <w:t>b+1</w:t>
      </w:r>
      <w:r w:rsidRPr="000631A9">
        <w:rPr>
          <w:lang w:val="en-GB" w:eastAsia="ko-KR"/>
        </w:rPr>
        <w:t xml:space="preserve">, </w:t>
      </w:r>
      <w:r w:rsidR="005E0F5E" w:rsidRPr="000631A9">
        <w:rPr>
          <w:lang w:val="en-GB" w:eastAsia="ko-KR"/>
        </w:rPr>
        <w:t xml:space="preserve">with burst length </w:t>
      </w:r>
      <m:oMath>
        <m:r>
          <w:rPr>
            <w:rFonts w:ascii="Cambria Math" w:hAnsi="Cambria Math"/>
            <w:lang w:val="en-GB" w:eastAsia="ko-KR"/>
          </w:rPr>
          <m:t>L</m:t>
        </m:r>
      </m:oMath>
      <w:r w:rsidR="005E0F5E" w:rsidRPr="000631A9">
        <w:rPr>
          <w:rFonts w:eastAsiaTheme="minorEastAsia"/>
          <w:lang w:val="en-GB" w:eastAsia="ko-KR"/>
        </w:rPr>
        <w:t xml:space="preserve">, </w:t>
      </w:r>
      <w:r w:rsidRPr="000631A9">
        <w:rPr>
          <w:lang w:val="en-GB" w:eastAsia="ko-KR"/>
        </w:rPr>
        <w:t>where</w:t>
      </w:r>
      <w:r w:rsidRPr="000631A9">
        <w:rPr>
          <w:lang w:eastAsia="ko-KR"/>
        </w:rPr>
        <w:sym w:font="Symbol" w:char="F020"/>
      </w:r>
      <w:r w:rsidRPr="000631A9">
        <w:rPr>
          <w:lang w:eastAsia="ko-KR"/>
        </w:rPr>
        <w:sym w:font="Symbol" w:char="F071"/>
      </w:r>
      <w:r w:rsidRPr="000631A9">
        <w:rPr>
          <w:lang w:val="en-GB" w:eastAsia="ko-KR"/>
        </w:rPr>
        <w:t xml:space="preserve"> is the phase drift over the time duration of a burst, and w and z represent noise/interference.</w:t>
      </w:r>
      <w:r w:rsidR="005E0F5E" w:rsidRPr="000631A9">
        <w:rPr>
          <w:lang w:val="en-GB" w:eastAsia="ko-KR"/>
        </w:rPr>
        <w:t xml:space="preserve"> It can be noted that the defini</w:t>
      </w:r>
      <w:r w:rsidR="00A74922" w:rsidRPr="000631A9">
        <w:rPr>
          <w:lang w:val="en-GB" w:eastAsia="ko-KR"/>
        </w:rPr>
        <w:t xml:space="preserve">tion of </w:t>
      </w:r>
      <m:oMath>
        <m:r>
          <w:rPr>
            <w:rFonts w:ascii="Cambria Math" w:hAnsi="Cambria Math"/>
            <w:lang w:val="en-GB" w:eastAsia="ko-KR"/>
          </w:rPr>
          <m:t>n</m:t>
        </m:r>
      </m:oMath>
      <w:r w:rsidR="00A74922" w:rsidRPr="000631A9">
        <w:rPr>
          <w:rFonts w:eastAsiaTheme="minorEastAsia"/>
          <w:lang w:val="en-GB" w:eastAsia="ko-KR"/>
        </w:rPr>
        <w:t xml:space="preserve"> in the two bursts can be different depending on if the slot it is transmitted in is of length 156 or length 157 symbols.</w:t>
      </w:r>
    </w:p>
    <w:p w:rsidR="006559EB" w:rsidRPr="000631A9" w:rsidRDefault="006559EB" w:rsidP="001B40AC">
      <w:pPr>
        <w:pStyle w:val="BodyText"/>
        <w:rPr>
          <w:lang w:val="en-GB"/>
        </w:rPr>
      </w:pPr>
      <w:r w:rsidRPr="000631A9">
        <w:rPr>
          <w:lang w:val="en-GB" w:eastAsia="ko-KR"/>
        </w:rPr>
        <w:t>The following principles are used:</w:t>
      </w:r>
    </w:p>
    <w:p w:rsidR="001B40AC" w:rsidRPr="000631A9" w:rsidRDefault="001B40AC" w:rsidP="001B40AC">
      <w:pPr>
        <w:pStyle w:val="ListParagraph"/>
        <w:numPr>
          <w:ilvl w:val="1"/>
          <w:numId w:val="19"/>
        </w:numPr>
        <w:rPr>
          <w:lang w:val="en-GB"/>
        </w:rPr>
      </w:pPr>
      <w:r w:rsidRPr="000631A9">
        <w:rPr>
          <w:lang w:val="en-GB"/>
        </w:rPr>
        <w:t>All bursts within the TDMA frame are blindly combined.</w:t>
      </w:r>
    </w:p>
    <w:p w:rsidR="0011533A" w:rsidRPr="000631A9" w:rsidRDefault="001B40AC" w:rsidP="001B40AC">
      <w:pPr>
        <w:pStyle w:val="ListParagraph"/>
        <w:numPr>
          <w:ilvl w:val="1"/>
          <w:numId w:val="19"/>
        </w:numPr>
        <w:rPr>
          <w:lang w:val="en-GB"/>
        </w:rPr>
      </w:pPr>
      <w:r w:rsidRPr="000631A9">
        <w:rPr>
          <w:lang w:val="en-GB"/>
        </w:rPr>
        <w:t>The bursts between two TDMA frames are combined by estimating the random phase between them.</w:t>
      </w:r>
    </w:p>
    <w:p w:rsidR="001B40AC" w:rsidRPr="000631A9" w:rsidRDefault="001B40AC" w:rsidP="001B40AC">
      <w:pPr>
        <w:pStyle w:val="ListParagraph"/>
        <w:numPr>
          <w:ilvl w:val="1"/>
          <w:numId w:val="19"/>
        </w:numPr>
        <w:rPr>
          <w:lang w:val="en-GB"/>
        </w:rPr>
      </w:pPr>
      <w:r w:rsidRPr="000631A9">
        <w:rPr>
          <w:lang w:val="en-GB"/>
        </w:rPr>
        <w:t>Already combined TDMA frames are used as basis for further combination</w:t>
      </w:r>
    </w:p>
    <w:p w:rsidR="002D228A" w:rsidRPr="000631A9" w:rsidRDefault="002D228A" w:rsidP="002D228A">
      <w:pPr>
        <w:pStyle w:val="Heading2"/>
      </w:pPr>
      <w:r w:rsidRPr="000631A9">
        <w:t>Presentation of results</w:t>
      </w:r>
    </w:p>
    <w:p w:rsidR="002D228A" w:rsidRPr="000631A9" w:rsidRDefault="002D228A" w:rsidP="002D228A">
      <w:pPr>
        <w:pStyle w:val="BodyText"/>
        <w:rPr>
          <w:lang w:val="en-GB"/>
        </w:rPr>
      </w:pPr>
      <w:r w:rsidRPr="000631A9">
        <w:rPr>
          <w:lang w:val="en-GB"/>
        </w:rPr>
        <w:t xml:space="preserve">The results are presented by SNR for the logical channel that is limited by the maximum BLER assumed. The BLER registered for the other logical channels in the same direction is also presented. </w:t>
      </w:r>
    </w:p>
    <w:p w:rsidR="002D228A" w:rsidRPr="000631A9" w:rsidRDefault="002D228A" w:rsidP="002D228A">
      <w:pPr>
        <w:pStyle w:val="BodyText"/>
        <w:rPr>
          <w:lang w:val="en-GB"/>
        </w:rPr>
      </w:pPr>
      <w:r w:rsidRPr="000631A9">
        <w:rPr>
          <w:lang w:val="en-GB"/>
        </w:rPr>
        <w:t>Taking the SNR targets derived, the coverage range for each CC is also shown.</w:t>
      </w:r>
    </w:p>
    <w:p w:rsidR="000B709F" w:rsidRPr="000631A9" w:rsidRDefault="000B709F" w:rsidP="000B709F">
      <w:pPr>
        <w:pStyle w:val="Heading2"/>
      </w:pPr>
      <w:r w:rsidRPr="000631A9">
        <w:t>Results</w:t>
      </w:r>
    </w:p>
    <w:p w:rsidR="00AC0945" w:rsidRPr="000631A9" w:rsidRDefault="00AC0945" w:rsidP="00AC0945">
      <w:pPr>
        <w:pStyle w:val="Heading3"/>
      </w:pPr>
      <w:r w:rsidRPr="000631A9">
        <w:t>Downlink</w:t>
      </w:r>
    </w:p>
    <w:p w:rsidR="00E2509F" w:rsidRDefault="00E2509F" w:rsidP="00E2509F">
      <w:pPr>
        <w:pStyle w:val="BodyText"/>
        <w:rPr>
          <w:lang w:val="en-GB" w:eastAsia="ko-KR"/>
        </w:rPr>
      </w:pPr>
      <w:r w:rsidRPr="000631A9">
        <w:rPr>
          <w:lang w:val="en-GB" w:eastAsia="ko-KR"/>
        </w:rPr>
        <w:t xml:space="preserve">The results for the downlink are presented in </w:t>
      </w:r>
      <w:r w:rsidRPr="000631A9">
        <w:rPr>
          <w:lang w:eastAsia="ko-KR"/>
        </w:rPr>
        <w:fldChar w:fldCharType="begin"/>
      </w:r>
      <w:r w:rsidRPr="000631A9">
        <w:rPr>
          <w:lang w:val="en-GB" w:eastAsia="ko-KR"/>
        </w:rPr>
        <w:instrText xml:space="preserve"> REF _Ref437529075 \h </w:instrText>
      </w:r>
      <w:r w:rsidRPr="000631A9">
        <w:rPr>
          <w:lang w:eastAsia="ko-KR"/>
        </w:rPr>
      </w:r>
      <w:r w:rsidRPr="000631A9">
        <w:rPr>
          <w:lang w:eastAsia="ko-KR"/>
        </w:rPr>
        <w:fldChar w:fldCharType="separate"/>
      </w:r>
      <w:r w:rsidR="00E138CB" w:rsidRPr="000631A9">
        <w:rPr>
          <w:lang w:val="en-GB"/>
        </w:rPr>
        <w:t xml:space="preserve">Table </w:t>
      </w:r>
      <w:r w:rsidR="00E138CB">
        <w:rPr>
          <w:noProof/>
          <w:lang w:val="en-GB"/>
        </w:rPr>
        <w:t>3</w:t>
      </w:r>
      <w:r w:rsidRPr="000631A9">
        <w:rPr>
          <w:lang w:eastAsia="ko-KR"/>
        </w:rPr>
        <w:fldChar w:fldCharType="end"/>
      </w:r>
      <w:r w:rsidR="003D291F" w:rsidRPr="000631A9">
        <w:rPr>
          <w:lang w:val="en-GB" w:eastAsia="ko-KR"/>
        </w:rPr>
        <w:t>.</w:t>
      </w:r>
    </w:p>
    <w:p w:rsidR="00023120" w:rsidRPr="000631A9" w:rsidRDefault="00AC0945" w:rsidP="001404E2">
      <w:pPr>
        <w:pStyle w:val="Caption"/>
        <w:keepNext/>
        <w:rPr>
          <w:lang w:val="en-GB"/>
        </w:rPr>
      </w:pPr>
      <w:bookmarkStart w:id="2" w:name="_Ref437529075"/>
      <w:r w:rsidRPr="000631A9">
        <w:rPr>
          <w:lang w:val="en-GB"/>
        </w:rPr>
        <w:lastRenderedPageBreak/>
        <w:t xml:space="preserve">Table </w:t>
      </w:r>
      <w:r w:rsidR="00BD7874" w:rsidRPr="000631A9">
        <w:fldChar w:fldCharType="begin"/>
      </w:r>
      <w:r w:rsidR="00BD7874" w:rsidRPr="000631A9">
        <w:rPr>
          <w:lang w:val="en-GB"/>
        </w:rPr>
        <w:instrText xml:space="preserve"> SEQ Table \* ARABIC </w:instrText>
      </w:r>
      <w:r w:rsidR="00BD7874" w:rsidRPr="000631A9">
        <w:fldChar w:fldCharType="separate"/>
      </w:r>
      <w:r w:rsidR="00E138CB">
        <w:rPr>
          <w:noProof/>
          <w:lang w:val="en-GB"/>
        </w:rPr>
        <w:t>3</w:t>
      </w:r>
      <w:r w:rsidR="00BD7874" w:rsidRPr="000631A9">
        <w:rPr>
          <w:noProof/>
        </w:rPr>
        <w:fldChar w:fldCharType="end"/>
      </w:r>
      <w:bookmarkEnd w:id="2"/>
      <w:r w:rsidRPr="000631A9">
        <w:rPr>
          <w:lang w:val="en-GB"/>
        </w:rPr>
        <w:t xml:space="preserve">: </w:t>
      </w:r>
      <w:r w:rsidR="00B34E57" w:rsidRPr="000631A9">
        <w:rPr>
          <w:lang w:val="en-GB"/>
        </w:rPr>
        <w:t>Summary of downlink coverage class alignment</w:t>
      </w:r>
    </w:p>
    <w:tbl>
      <w:tblPr>
        <w:tblStyle w:val="TableGrid"/>
        <w:tblW w:w="0" w:type="auto"/>
        <w:jc w:val="center"/>
        <w:tblLook w:val="04A0" w:firstRow="1" w:lastRow="0" w:firstColumn="1" w:lastColumn="0" w:noHBand="0" w:noVBand="1"/>
      </w:tblPr>
      <w:tblGrid>
        <w:gridCol w:w="2235"/>
        <w:gridCol w:w="647"/>
        <w:gridCol w:w="648"/>
        <w:gridCol w:w="659"/>
        <w:gridCol w:w="659"/>
        <w:gridCol w:w="647"/>
        <w:gridCol w:w="648"/>
        <w:gridCol w:w="597"/>
        <w:gridCol w:w="567"/>
      </w:tblGrid>
      <w:tr w:rsidR="000631A9" w:rsidRPr="000631A9" w:rsidTr="00E2509F">
        <w:trPr>
          <w:jc w:val="center"/>
        </w:trPr>
        <w:tc>
          <w:tcPr>
            <w:tcW w:w="2235" w:type="dxa"/>
            <w:shd w:val="clear" w:color="auto" w:fill="DBE5F1" w:themeFill="accent1" w:themeFillTint="33"/>
          </w:tcPr>
          <w:p w:rsidR="00E2509F" w:rsidRPr="00BD74F5" w:rsidRDefault="00E2509F" w:rsidP="001404E2">
            <w:pPr>
              <w:keepNext/>
              <w:rPr>
                <w:lang w:val="en-GB"/>
              </w:rPr>
            </w:pPr>
          </w:p>
        </w:tc>
        <w:tc>
          <w:tcPr>
            <w:tcW w:w="1295" w:type="dxa"/>
            <w:gridSpan w:val="2"/>
            <w:shd w:val="clear" w:color="auto" w:fill="DBE5F1" w:themeFill="accent1" w:themeFillTint="33"/>
          </w:tcPr>
          <w:p w:rsidR="00E2509F" w:rsidRPr="00BD74F5" w:rsidRDefault="00E2509F" w:rsidP="00BC65F4">
            <w:pPr>
              <w:keepNext/>
              <w:jc w:val="center"/>
            </w:pPr>
            <w:r w:rsidRPr="00BD74F5">
              <w:t xml:space="preserve">CC1 </w:t>
            </w:r>
          </w:p>
        </w:tc>
        <w:tc>
          <w:tcPr>
            <w:tcW w:w="1318" w:type="dxa"/>
            <w:gridSpan w:val="2"/>
            <w:shd w:val="clear" w:color="auto" w:fill="DBE5F1" w:themeFill="accent1" w:themeFillTint="33"/>
          </w:tcPr>
          <w:p w:rsidR="00E2509F" w:rsidRPr="00BD74F5" w:rsidRDefault="00E2509F" w:rsidP="00BC65F4">
            <w:pPr>
              <w:keepNext/>
              <w:jc w:val="center"/>
            </w:pPr>
            <w:r w:rsidRPr="00BD74F5">
              <w:t xml:space="preserve">CC2 </w:t>
            </w:r>
          </w:p>
        </w:tc>
        <w:tc>
          <w:tcPr>
            <w:tcW w:w="1295" w:type="dxa"/>
            <w:gridSpan w:val="2"/>
            <w:shd w:val="clear" w:color="auto" w:fill="DBE5F1" w:themeFill="accent1" w:themeFillTint="33"/>
          </w:tcPr>
          <w:p w:rsidR="00E2509F" w:rsidRPr="00BD74F5" w:rsidRDefault="00E2509F" w:rsidP="00BC65F4">
            <w:pPr>
              <w:keepNext/>
              <w:jc w:val="center"/>
            </w:pPr>
            <w:r w:rsidRPr="00BD74F5">
              <w:t xml:space="preserve">CC3 </w:t>
            </w:r>
          </w:p>
        </w:tc>
        <w:tc>
          <w:tcPr>
            <w:tcW w:w="1133" w:type="dxa"/>
            <w:gridSpan w:val="2"/>
            <w:shd w:val="clear" w:color="auto" w:fill="DBE5F1" w:themeFill="accent1" w:themeFillTint="33"/>
          </w:tcPr>
          <w:p w:rsidR="00E2509F" w:rsidRPr="000631A9" w:rsidRDefault="00E2509F" w:rsidP="001404E2">
            <w:pPr>
              <w:keepNext/>
              <w:jc w:val="center"/>
            </w:pPr>
            <w:r w:rsidRPr="000631A9">
              <w:t>CC4</w:t>
            </w:r>
          </w:p>
        </w:tc>
      </w:tr>
      <w:tr w:rsidR="000631A9" w:rsidRPr="000631A9" w:rsidTr="00BB69B0">
        <w:trPr>
          <w:jc w:val="center"/>
        </w:trPr>
        <w:tc>
          <w:tcPr>
            <w:tcW w:w="2235" w:type="dxa"/>
            <w:shd w:val="clear" w:color="auto" w:fill="B8CCE4" w:themeFill="accent1" w:themeFillTint="66"/>
          </w:tcPr>
          <w:p w:rsidR="003D291F" w:rsidRPr="00BD74F5" w:rsidRDefault="003D291F" w:rsidP="001404E2">
            <w:pPr>
              <w:keepNext/>
            </w:pPr>
            <w:r w:rsidRPr="00BD74F5">
              <w:t>SNR</w:t>
            </w:r>
          </w:p>
        </w:tc>
        <w:tc>
          <w:tcPr>
            <w:tcW w:w="1295" w:type="dxa"/>
            <w:gridSpan w:val="2"/>
            <w:shd w:val="clear" w:color="auto" w:fill="B8CCE4" w:themeFill="accent1" w:themeFillTint="66"/>
          </w:tcPr>
          <w:p w:rsidR="003D291F" w:rsidRPr="00BD74F5" w:rsidRDefault="00A82AD6" w:rsidP="001404E2">
            <w:pPr>
              <w:keepNext/>
              <w:jc w:val="center"/>
            </w:pPr>
            <w:r w:rsidRPr="00BD74F5">
              <w:t>9.1</w:t>
            </w:r>
          </w:p>
        </w:tc>
        <w:tc>
          <w:tcPr>
            <w:tcW w:w="1318" w:type="dxa"/>
            <w:gridSpan w:val="2"/>
            <w:shd w:val="clear" w:color="auto" w:fill="B8CCE4" w:themeFill="accent1" w:themeFillTint="66"/>
          </w:tcPr>
          <w:p w:rsidR="003D291F" w:rsidRPr="00BD74F5" w:rsidRDefault="005A0A14" w:rsidP="001404E2">
            <w:pPr>
              <w:keepNext/>
              <w:jc w:val="center"/>
            </w:pPr>
            <w:r w:rsidRPr="009E599D">
              <w:rPr>
                <w:highlight w:val="yellow"/>
              </w:rPr>
              <w:t>-0.2</w:t>
            </w:r>
          </w:p>
        </w:tc>
        <w:tc>
          <w:tcPr>
            <w:tcW w:w="1295" w:type="dxa"/>
            <w:gridSpan w:val="2"/>
            <w:shd w:val="clear" w:color="auto" w:fill="B8CCE4" w:themeFill="accent1" w:themeFillTint="66"/>
          </w:tcPr>
          <w:p w:rsidR="003D291F" w:rsidRPr="00BD74F5" w:rsidRDefault="00A82AD6" w:rsidP="00137218">
            <w:pPr>
              <w:keepNext/>
              <w:jc w:val="center"/>
            </w:pPr>
            <w:r w:rsidRPr="00BD74F5">
              <w:t>-</w:t>
            </w:r>
            <w:r w:rsidR="00137218" w:rsidRPr="00BD74F5">
              <w:t>3.2</w:t>
            </w:r>
          </w:p>
        </w:tc>
        <w:tc>
          <w:tcPr>
            <w:tcW w:w="1133" w:type="dxa"/>
            <w:gridSpan w:val="2"/>
            <w:shd w:val="clear" w:color="auto" w:fill="B8CCE4" w:themeFill="accent1" w:themeFillTint="66"/>
          </w:tcPr>
          <w:p w:rsidR="003D291F" w:rsidRPr="000631A9" w:rsidRDefault="00A82AD6" w:rsidP="001404E2">
            <w:pPr>
              <w:keepNext/>
              <w:jc w:val="center"/>
            </w:pPr>
            <w:r w:rsidRPr="000631A9">
              <w:t>-6.1</w:t>
            </w:r>
          </w:p>
        </w:tc>
      </w:tr>
      <w:tr w:rsidR="000631A9" w:rsidRPr="000631A9" w:rsidTr="00822954">
        <w:trPr>
          <w:jc w:val="center"/>
        </w:trPr>
        <w:tc>
          <w:tcPr>
            <w:tcW w:w="2235" w:type="dxa"/>
            <w:shd w:val="clear" w:color="auto" w:fill="95B3D7" w:themeFill="accent1" w:themeFillTint="99"/>
          </w:tcPr>
          <w:p w:rsidR="00BB69B0" w:rsidRPr="00BD74F5" w:rsidRDefault="00BB69B0" w:rsidP="001404E2">
            <w:pPr>
              <w:keepNext/>
            </w:pPr>
            <w:r w:rsidRPr="00BD74F5">
              <w:t>Logical channel</w:t>
            </w:r>
          </w:p>
        </w:tc>
        <w:tc>
          <w:tcPr>
            <w:tcW w:w="5041" w:type="dxa"/>
            <w:gridSpan w:val="8"/>
            <w:shd w:val="clear" w:color="auto" w:fill="95B3D7" w:themeFill="accent1" w:themeFillTint="99"/>
          </w:tcPr>
          <w:p w:rsidR="00BB69B0" w:rsidRPr="00BD74F5" w:rsidRDefault="00BB69B0" w:rsidP="001404E2">
            <w:pPr>
              <w:keepNext/>
              <w:jc w:val="center"/>
            </w:pPr>
            <w:r w:rsidRPr="00BD74F5">
              <w:t>BLER</w:t>
            </w:r>
            <w:r w:rsidR="000D3EA3" w:rsidRPr="00BD74F5">
              <w:t xml:space="preserve"> | # blind transmissions</w:t>
            </w:r>
          </w:p>
        </w:tc>
      </w:tr>
      <w:tr w:rsidR="000631A9" w:rsidRPr="000631A9" w:rsidTr="00860E39">
        <w:trPr>
          <w:jc w:val="center"/>
        </w:trPr>
        <w:tc>
          <w:tcPr>
            <w:tcW w:w="2235" w:type="dxa"/>
          </w:tcPr>
          <w:p w:rsidR="009F64ED" w:rsidRPr="00BD74F5" w:rsidRDefault="009F64ED" w:rsidP="001404E2">
            <w:pPr>
              <w:keepNext/>
            </w:pPr>
            <w:r w:rsidRPr="00BD74F5">
              <w:t>EC-CCCH/D</w:t>
            </w:r>
          </w:p>
        </w:tc>
        <w:tc>
          <w:tcPr>
            <w:tcW w:w="647" w:type="dxa"/>
            <w:tcBorders>
              <w:right w:val="single" w:sz="4" w:space="0" w:color="auto"/>
            </w:tcBorders>
          </w:tcPr>
          <w:p w:rsidR="009F64ED" w:rsidRPr="00BD74F5" w:rsidRDefault="009F64ED" w:rsidP="001404E2">
            <w:pPr>
              <w:keepNext/>
              <w:jc w:val="center"/>
            </w:pPr>
            <w:r w:rsidRPr="00BD74F5">
              <w:t>10%</w:t>
            </w:r>
          </w:p>
        </w:tc>
        <w:tc>
          <w:tcPr>
            <w:tcW w:w="648" w:type="dxa"/>
            <w:tcBorders>
              <w:left w:val="single" w:sz="4" w:space="0" w:color="auto"/>
              <w:right w:val="double" w:sz="4" w:space="0" w:color="auto"/>
            </w:tcBorders>
          </w:tcPr>
          <w:p w:rsidR="009F64ED" w:rsidRPr="00BD74F5" w:rsidRDefault="00032810" w:rsidP="001404E2">
            <w:pPr>
              <w:keepNext/>
              <w:jc w:val="center"/>
            </w:pPr>
            <w:r w:rsidRPr="00BD74F5">
              <w:t>-</w:t>
            </w:r>
          </w:p>
        </w:tc>
        <w:tc>
          <w:tcPr>
            <w:tcW w:w="659" w:type="dxa"/>
            <w:tcBorders>
              <w:left w:val="double" w:sz="4" w:space="0" w:color="auto"/>
              <w:bottom w:val="single" w:sz="4" w:space="0" w:color="auto"/>
              <w:right w:val="single" w:sz="4" w:space="0" w:color="auto"/>
            </w:tcBorders>
          </w:tcPr>
          <w:p w:rsidR="009F64ED" w:rsidRPr="009E599D" w:rsidRDefault="009E599D" w:rsidP="001404E2">
            <w:pPr>
              <w:keepNext/>
              <w:jc w:val="center"/>
              <w:rPr>
                <w:highlight w:val="yellow"/>
              </w:rPr>
            </w:pPr>
            <w:r w:rsidRPr="009E599D">
              <w:rPr>
                <w:highlight w:val="yellow"/>
              </w:rPr>
              <w:t>5</w:t>
            </w:r>
            <w:r w:rsidR="00C10680" w:rsidRPr="009E599D">
              <w:rPr>
                <w:highlight w:val="yellow"/>
              </w:rPr>
              <w:t>%</w:t>
            </w:r>
          </w:p>
        </w:tc>
        <w:tc>
          <w:tcPr>
            <w:tcW w:w="659" w:type="dxa"/>
            <w:tcBorders>
              <w:left w:val="single" w:sz="4" w:space="0" w:color="auto"/>
              <w:bottom w:val="single" w:sz="4" w:space="0" w:color="auto"/>
              <w:right w:val="double" w:sz="4" w:space="0" w:color="auto"/>
            </w:tcBorders>
          </w:tcPr>
          <w:p w:rsidR="009F64ED" w:rsidRPr="00BD74F5" w:rsidRDefault="00C10680" w:rsidP="001404E2">
            <w:pPr>
              <w:keepNext/>
              <w:jc w:val="center"/>
            </w:pPr>
            <w:r w:rsidRPr="00BD74F5">
              <w:t>8</w:t>
            </w:r>
          </w:p>
        </w:tc>
        <w:tc>
          <w:tcPr>
            <w:tcW w:w="647" w:type="dxa"/>
            <w:tcBorders>
              <w:left w:val="double" w:sz="4" w:space="0" w:color="auto"/>
              <w:right w:val="single" w:sz="4" w:space="0" w:color="auto"/>
            </w:tcBorders>
          </w:tcPr>
          <w:p w:rsidR="009F64ED" w:rsidRPr="00BD74F5" w:rsidRDefault="00C10680" w:rsidP="001404E2">
            <w:pPr>
              <w:keepNext/>
              <w:jc w:val="center"/>
            </w:pPr>
            <w:r w:rsidRPr="00BD74F5">
              <w:t>5%</w:t>
            </w:r>
          </w:p>
        </w:tc>
        <w:tc>
          <w:tcPr>
            <w:tcW w:w="648" w:type="dxa"/>
            <w:tcBorders>
              <w:left w:val="single" w:sz="4" w:space="0" w:color="auto"/>
              <w:right w:val="double" w:sz="4" w:space="0" w:color="auto"/>
            </w:tcBorders>
          </w:tcPr>
          <w:p w:rsidR="009F64ED" w:rsidRPr="00BD74F5" w:rsidRDefault="00C10680" w:rsidP="001404E2">
            <w:pPr>
              <w:keepNext/>
              <w:jc w:val="center"/>
            </w:pPr>
            <w:r w:rsidRPr="00BD74F5">
              <w:t>16</w:t>
            </w:r>
          </w:p>
        </w:tc>
        <w:tc>
          <w:tcPr>
            <w:tcW w:w="566" w:type="dxa"/>
            <w:tcBorders>
              <w:left w:val="double" w:sz="4" w:space="0" w:color="auto"/>
              <w:right w:val="single" w:sz="4" w:space="0" w:color="auto"/>
            </w:tcBorders>
          </w:tcPr>
          <w:p w:rsidR="009F64ED" w:rsidRPr="000631A9" w:rsidRDefault="00C10680" w:rsidP="001404E2">
            <w:pPr>
              <w:keepNext/>
              <w:jc w:val="center"/>
            </w:pPr>
            <w:r w:rsidRPr="000631A9">
              <w:t>3%</w:t>
            </w:r>
          </w:p>
        </w:tc>
        <w:tc>
          <w:tcPr>
            <w:tcW w:w="567" w:type="dxa"/>
            <w:tcBorders>
              <w:left w:val="single" w:sz="4" w:space="0" w:color="auto"/>
              <w:right w:val="double" w:sz="4" w:space="0" w:color="auto"/>
            </w:tcBorders>
          </w:tcPr>
          <w:p w:rsidR="009F64ED" w:rsidRPr="000631A9" w:rsidRDefault="00C10680" w:rsidP="001404E2">
            <w:pPr>
              <w:keepNext/>
              <w:jc w:val="center"/>
            </w:pPr>
            <w:r w:rsidRPr="000631A9">
              <w:t>32</w:t>
            </w:r>
          </w:p>
        </w:tc>
      </w:tr>
      <w:tr w:rsidR="000631A9" w:rsidRPr="000631A9" w:rsidTr="00860E39">
        <w:trPr>
          <w:jc w:val="center"/>
        </w:trPr>
        <w:tc>
          <w:tcPr>
            <w:tcW w:w="2235" w:type="dxa"/>
          </w:tcPr>
          <w:p w:rsidR="009F64ED" w:rsidRPr="000631A9" w:rsidRDefault="009F64ED" w:rsidP="001404E2">
            <w:pPr>
              <w:keepNext/>
            </w:pPr>
            <w:r w:rsidRPr="000631A9">
              <w:t>EC-PACCH/D</w:t>
            </w:r>
          </w:p>
        </w:tc>
        <w:tc>
          <w:tcPr>
            <w:tcW w:w="647" w:type="dxa"/>
            <w:tcBorders>
              <w:right w:val="single" w:sz="4" w:space="0" w:color="auto"/>
            </w:tcBorders>
          </w:tcPr>
          <w:p w:rsidR="009F64ED" w:rsidRPr="000631A9" w:rsidRDefault="00C10680" w:rsidP="001404E2">
            <w:pPr>
              <w:keepNext/>
              <w:jc w:val="center"/>
            </w:pPr>
            <w:r w:rsidRPr="000631A9">
              <w:t>3%</w:t>
            </w:r>
          </w:p>
        </w:tc>
        <w:tc>
          <w:tcPr>
            <w:tcW w:w="648" w:type="dxa"/>
            <w:tcBorders>
              <w:left w:val="single" w:sz="4" w:space="0" w:color="auto"/>
              <w:right w:val="double" w:sz="4" w:space="0" w:color="auto"/>
            </w:tcBorders>
          </w:tcPr>
          <w:p w:rsidR="009F64ED" w:rsidRPr="000631A9" w:rsidRDefault="00032810" w:rsidP="001404E2">
            <w:pPr>
              <w:keepNext/>
              <w:jc w:val="center"/>
            </w:pPr>
            <w:r w:rsidRPr="000631A9">
              <w:t>-</w:t>
            </w:r>
          </w:p>
        </w:tc>
        <w:tc>
          <w:tcPr>
            <w:tcW w:w="659" w:type="dxa"/>
            <w:tcBorders>
              <w:left w:val="double" w:sz="4" w:space="0" w:color="auto"/>
              <w:bottom w:val="single" w:sz="4" w:space="0" w:color="auto"/>
              <w:right w:val="single" w:sz="4" w:space="0" w:color="auto"/>
            </w:tcBorders>
          </w:tcPr>
          <w:p w:rsidR="009F64ED" w:rsidRPr="009E599D" w:rsidRDefault="009E599D" w:rsidP="001404E2">
            <w:pPr>
              <w:keepNext/>
              <w:jc w:val="center"/>
              <w:rPr>
                <w:highlight w:val="yellow"/>
              </w:rPr>
            </w:pPr>
            <w:r w:rsidRPr="009E599D">
              <w:rPr>
                <w:highlight w:val="yellow"/>
              </w:rPr>
              <w:t>9</w:t>
            </w:r>
            <w:r w:rsidR="00D6492A" w:rsidRPr="009E599D">
              <w:rPr>
                <w:highlight w:val="yellow"/>
              </w:rPr>
              <w:t>%</w:t>
            </w:r>
          </w:p>
        </w:tc>
        <w:tc>
          <w:tcPr>
            <w:tcW w:w="659" w:type="dxa"/>
            <w:tcBorders>
              <w:left w:val="single" w:sz="4" w:space="0" w:color="auto"/>
              <w:bottom w:val="single" w:sz="4" w:space="0" w:color="auto"/>
              <w:right w:val="double" w:sz="4" w:space="0" w:color="auto"/>
            </w:tcBorders>
          </w:tcPr>
          <w:p w:rsidR="009F64ED" w:rsidRPr="000631A9" w:rsidRDefault="00D6492A" w:rsidP="001404E2">
            <w:pPr>
              <w:keepNext/>
              <w:jc w:val="center"/>
            </w:pPr>
            <w:r w:rsidRPr="000631A9">
              <w:t>4</w:t>
            </w:r>
          </w:p>
        </w:tc>
        <w:tc>
          <w:tcPr>
            <w:tcW w:w="647" w:type="dxa"/>
            <w:tcBorders>
              <w:left w:val="double" w:sz="4" w:space="0" w:color="auto"/>
              <w:right w:val="single" w:sz="4" w:space="0" w:color="auto"/>
            </w:tcBorders>
          </w:tcPr>
          <w:p w:rsidR="009F64ED" w:rsidRPr="000631A9" w:rsidRDefault="00D6492A" w:rsidP="001404E2">
            <w:pPr>
              <w:keepNext/>
              <w:jc w:val="center"/>
            </w:pPr>
            <w:r w:rsidRPr="000631A9">
              <w:t>9%</w:t>
            </w:r>
          </w:p>
        </w:tc>
        <w:tc>
          <w:tcPr>
            <w:tcW w:w="648" w:type="dxa"/>
            <w:tcBorders>
              <w:left w:val="single" w:sz="4" w:space="0" w:color="auto"/>
              <w:right w:val="double" w:sz="4" w:space="0" w:color="auto"/>
            </w:tcBorders>
          </w:tcPr>
          <w:p w:rsidR="009F64ED" w:rsidRPr="000631A9" w:rsidRDefault="00D6492A" w:rsidP="001404E2">
            <w:pPr>
              <w:keepNext/>
              <w:jc w:val="center"/>
            </w:pPr>
            <w:r w:rsidRPr="000631A9">
              <w:t>8</w:t>
            </w:r>
          </w:p>
        </w:tc>
        <w:tc>
          <w:tcPr>
            <w:tcW w:w="566" w:type="dxa"/>
            <w:tcBorders>
              <w:left w:val="double" w:sz="4" w:space="0" w:color="auto"/>
              <w:right w:val="single" w:sz="4" w:space="0" w:color="auto"/>
            </w:tcBorders>
          </w:tcPr>
          <w:p w:rsidR="009F64ED" w:rsidRPr="000631A9" w:rsidRDefault="00D6492A" w:rsidP="001404E2">
            <w:pPr>
              <w:keepNext/>
              <w:jc w:val="center"/>
            </w:pPr>
            <w:r w:rsidRPr="000631A9">
              <w:t>9%</w:t>
            </w:r>
          </w:p>
        </w:tc>
        <w:tc>
          <w:tcPr>
            <w:tcW w:w="567" w:type="dxa"/>
            <w:tcBorders>
              <w:left w:val="single" w:sz="4" w:space="0" w:color="auto"/>
              <w:right w:val="double" w:sz="4" w:space="0" w:color="auto"/>
            </w:tcBorders>
          </w:tcPr>
          <w:p w:rsidR="009F64ED" w:rsidRPr="000631A9" w:rsidRDefault="00D6492A" w:rsidP="001404E2">
            <w:pPr>
              <w:keepNext/>
              <w:jc w:val="center"/>
            </w:pPr>
            <w:r w:rsidRPr="000631A9">
              <w:t>16</w:t>
            </w:r>
          </w:p>
        </w:tc>
      </w:tr>
      <w:tr w:rsidR="009F64ED" w:rsidRPr="000631A9" w:rsidTr="00860E39">
        <w:trPr>
          <w:jc w:val="center"/>
        </w:trPr>
        <w:tc>
          <w:tcPr>
            <w:tcW w:w="2235" w:type="dxa"/>
          </w:tcPr>
          <w:p w:rsidR="009F64ED" w:rsidRPr="000631A9" w:rsidRDefault="009F64ED" w:rsidP="00AC0945">
            <w:r w:rsidRPr="000631A9">
              <w:t>EC-PDTCH/D</w:t>
            </w:r>
          </w:p>
        </w:tc>
        <w:tc>
          <w:tcPr>
            <w:tcW w:w="647" w:type="dxa"/>
            <w:tcBorders>
              <w:right w:val="single" w:sz="4" w:space="0" w:color="auto"/>
            </w:tcBorders>
          </w:tcPr>
          <w:p w:rsidR="009F64ED" w:rsidRPr="000631A9" w:rsidRDefault="00C10680" w:rsidP="00E2509F">
            <w:pPr>
              <w:jc w:val="center"/>
            </w:pPr>
            <w:r w:rsidRPr="000631A9">
              <w:t>8%</w:t>
            </w:r>
          </w:p>
        </w:tc>
        <w:tc>
          <w:tcPr>
            <w:tcW w:w="648" w:type="dxa"/>
            <w:tcBorders>
              <w:left w:val="single" w:sz="4" w:space="0" w:color="auto"/>
              <w:right w:val="double" w:sz="4" w:space="0" w:color="auto"/>
            </w:tcBorders>
          </w:tcPr>
          <w:p w:rsidR="009F64ED" w:rsidRPr="000631A9" w:rsidRDefault="00032810" w:rsidP="00E2509F">
            <w:pPr>
              <w:jc w:val="center"/>
            </w:pPr>
            <w:r w:rsidRPr="000631A9">
              <w:t>-</w:t>
            </w:r>
          </w:p>
        </w:tc>
        <w:tc>
          <w:tcPr>
            <w:tcW w:w="659" w:type="dxa"/>
            <w:tcBorders>
              <w:left w:val="double" w:sz="4" w:space="0" w:color="auto"/>
              <w:right w:val="single" w:sz="4" w:space="0" w:color="auto"/>
            </w:tcBorders>
          </w:tcPr>
          <w:p w:rsidR="009F64ED" w:rsidRPr="009E599D" w:rsidRDefault="009E599D" w:rsidP="00E2509F">
            <w:pPr>
              <w:jc w:val="center"/>
              <w:rPr>
                <w:highlight w:val="yellow"/>
              </w:rPr>
            </w:pPr>
            <w:r w:rsidRPr="009E599D">
              <w:rPr>
                <w:highlight w:val="yellow"/>
              </w:rPr>
              <w:t>20</w:t>
            </w:r>
            <w:r w:rsidR="00BE1C69" w:rsidRPr="009E599D">
              <w:rPr>
                <w:highlight w:val="yellow"/>
              </w:rPr>
              <w:t>%</w:t>
            </w:r>
          </w:p>
        </w:tc>
        <w:tc>
          <w:tcPr>
            <w:tcW w:w="659" w:type="dxa"/>
            <w:tcBorders>
              <w:left w:val="single" w:sz="4" w:space="0" w:color="auto"/>
              <w:right w:val="double" w:sz="4" w:space="0" w:color="auto"/>
            </w:tcBorders>
          </w:tcPr>
          <w:p w:rsidR="009F64ED" w:rsidRPr="000631A9" w:rsidRDefault="0004184D" w:rsidP="00E2509F">
            <w:pPr>
              <w:jc w:val="center"/>
            </w:pPr>
            <w:r w:rsidRPr="000631A9">
              <w:t>4</w:t>
            </w:r>
          </w:p>
        </w:tc>
        <w:tc>
          <w:tcPr>
            <w:tcW w:w="647" w:type="dxa"/>
            <w:tcBorders>
              <w:left w:val="double" w:sz="4" w:space="0" w:color="auto"/>
              <w:right w:val="single" w:sz="4" w:space="0" w:color="auto"/>
            </w:tcBorders>
          </w:tcPr>
          <w:p w:rsidR="009F64ED" w:rsidRPr="000631A9" w:rsidRDefault="00BE1C69" w:rsidP="00E2509F">
            <w:pPr>
              <w:jc w:val="center"/>
            </w:pPr>
            <w:r w:rsidRPr="000631A9">
              <w:t>20%</w:t>
            </w:r>
          </w:p>
        </w:tc>
        <w:tc>
          <w:tcPr>
            <w:tcW w:w="648" w:type="dxa"/>
            <w:tcBorders>
              <w:left w:val="single" w:sz="4" w:space="0" w:color="auto"/>
              <w:right w:val="double" w:sz="4" w:space="0" w:color="auto"/>
            </w:tcBorders>
          </w:tcPr>
          <w:p w:rsidR="009F64ED" w:rsidRPr="000631A9" w:rsidRDefault="0004184D" w:rsidP="00E2509F">
            <w:pPr>
              <w:jc w:val="center"/>
            </w:pPr>
            <w:r w:rsidRPr="000631A9">
              <w:t>8</w:t>
            </w:r>
          </w:p>
        </w:tc>
        <w:tc>
          <w:tcPr>
            <w:tcW w:w="566" w:type="dxa"/>
            <w:tcBorders>
              <w:left w:val="double" w:sz="4" w:space="0" w:color="auto"/>
              <w:right w:val="single" w:sz="4" w:space="0" w:color="auto"/>
            </w:tcBorders>
          </w:tcPr>
          <w:p w:rsidR="009F64ED" w:rsidRPr="000631A9" w:rsidRDefault="00BE1C69" w:rsidP="00E2509F">
            <w:pPr>
              <w:jc w:val="center"/>
            </w:pPr>
            <w:r w:rsidRPr="000631A9">
              <w:t>20%</w:t>
            </w:r>
          </w:p>
        </w:tc>
        <w:tc>
          <w:tcPr>
            <w:tcW w:w="567" w:type="dxa"/>
            <w:tcBorders>
              <w:left w:val="single" w:sz="4" w:space="0" w:color="auto"/>
              <w:right w:val="double" w:sz="4" w:space="0" w:color="auto"/>
            </w:tcBorders>
          </w:tcPr>
          <w:p w:rsidR="009F64ED" w:rsidRPr="000631A9" w:rsidRDefault="0004184D" w:rsidP="00E2509F">
            <w:pPr>
              <w:jc w:val="center"/>
            </w:pPr>
            <w:r w:rsidRPr="000631A9">
              <w:t>16</w:t>
            </w:r>
          </w:p>
        </w:tc>
      </w:tr>
    </w:tbl>
    <w:p w:rsidR="00E2509F" w:rsidRPr="000631A9" w:rsidRDefault="00E2509F" w:rsidP="00843707">
      <w:pPr>
        <w:pStyle w:val="BodyText"/>
      </w:pPr>
    </w:p>
    <w:p w:rsidR="00843707" w:rsidRPr="000631A9" w:rsidRDefault="00277788" w:rsidP="00843707">
      <w:pPr>
        <w:pStyle w:val="BodyText"/>
        <w:rPr>
          <w:lang w:val="en-GB"/>
        </w:rPr>
      </w:pPr>
      <w:r w:rsidRPr="000631A9">
        <w:rPr>
          <w:lang w:val="en-GB"/>
        </w:rPr>
        <w:t>The resulting c</w:t>
      </w:r>
      <w:r w:rsidR="00843707" w:rsidRPr="000631A9">
        <w:rPr>
          <w:lang w:val="en-GB"/>
        </w:rPr>
        <w:t xml:space="preserve">overage </w:t>
      </w:r>
      <w:r w:rsidRPr="000631A9">
        <w:rPr>
          <w:lang w:val="en-GB"/>
        </w:rPr>
        <w:t xml:space="preserve">range for each coverage class is </w:t>
      </w:r>
      <w:r w:rsidR="0004466D" w:rsidRPr="000631A9">
        <w:rPr>
          <w:lang w:val="en-GB"/>
        </w:rPr>
        <w:t xml:space="preserve">exemplified </w:t>
      </w:r>
      <w:r w:rsidRPr="000631A9">
        <w:rPr>
          <w:lang w:val="en-GB"/>
        </w:rPr>
        <w:t xml:space="preserve">in </w:t>
      </w:r>
      <w:r w:rsidRPr="000631A9">
        <w:fldChar w:fldCharType="begin"/>
      </w:r>
      <w:r w:rsidRPr="000631A9">
        <w:rPr>
          <w:lang w:val="en-GB"/>
        </w:rPr>
        <w:instrText xml:space="preserve"> REF _Ref437528482 \h </w:instrText>
      </w:r>
      <w:r w:rsidRPr="000631A9">
        <w:fldChar w:fldCharType="separate"/>
      </w:r>
      <w:r w:rsidR="00E138CB" w:rsidRPr="000631A9">
        <w:rPr>
          <w:lang w:val="en-GB"/>
        </w:rPr>
        <w:t xml:space="preserve">Figure </w:t>
      </w:r>
      <w:r w:rsidR="00E138CB">
        <w:rPr>
          <w:noProof/>
          <w:lang w:val="en-GB"/>
        </w:rPr>
        <w:t>1</w:t>
      </w:r>
      <w:r w:rsidRPr="000631A9">
        <w:fldChar w:fldCharType="end"/>
      </w:r>
      <w:r w:rsidRPr="000631A9">
        <w:rPr>
          <w:lang w:val="en-GB"/>
        </w:rPr>
        <w:t>.</w:t>
      </w:r>
      <w:r w:rsidR="009B71D3" w:rsidRPr="000631A9">
        <w:rPr>
          <w:lang w:val="en-GB"/>
        </w:rPr>
        <w:t xml:space="preserve"> In addition to the targeted </w:t>
      </w:r>
      <w:r w:rsidR="008146A0" w:rsidRPr="000631A9">
        <w:rPr>
          <w:lang w:val="en-GB"/>
        </w:rPr>
        <w:t xml:space="preserve">DL </w:t>
      </w:r>
      <w:r w:rsidR="009B71D3" w:rsidRPr="000631A9">
        <w:rPr>
          <w:lang w:val="en-GB"/>
        </w:rPr>
        <w:t>SNR, the resulting coupling loss</w:t>
      </w:r>
      <w:r w:rsidR="0004466D" w:rsidRPr="000631A9">
        <w:rPr>
          <w:lang w:val="en-GB"/>
        </w:rPr>
        <w:t xml:space="preserve"> rounded off to integer dB</w:t>
      </w:r>
      <w:r w:rsidR="009B71D3" w:rsidRPr="000631A9">
        <w:rPr>
          <w:lang w:val="en-GB"/>
        </w:rPr>
        <w:t xml:space="preserve"> is also shown (assuming 43 dBm BTS output power).</w:t>
      </w:r>
    </w:p>
    <w:p w:rsidR="00277788" w:rsidRPr="000631A9" w:rsidRDefault="0004466D" w:rsidP="00843707">
      <w:pPr>
        <w:pStyle w:val="BodyText"/>
      </w:pPr>
      <w:r w:rsidRPr="000631A9">
        <w:object w:dxaOrig="11505" w:dyaOrig="1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85pt;height:65.75pt" o:ole="">
            <v:imagedata r:id="rId9" o:title=""/>
          </v:shape>
          <o:OLEObject Type="Embed" ProgID="Visio.Drawing.15" ShapeID="_x0000_i1025" DrawAspect="Content" ObjectID="_1516554344" r:id="rId10"/>
        </w:object>
      </w:r>
    </w:p>
    <w:p w:rsidR="00277788" w:rsidRPr="000631A9" w:rsidRDefault="00277788" w:rsidP="00277788">
      <w:pPr>
        <w:pStyle w:val="Caption"/>
        <w:rPr>
          <w:lang w:val="en-GB"/>
        </w:rPr>
      </w:pPr>
      <w:bookmarkStart w:id="3" w:name="_Ref437528482"/>
      <w:r w:rsidRPr="000631A9">
        <w:rPr>
          <w:lang w:val="en-GB"/>
        </w:rPr>
        <w:t xml:space="preserve">Figure </w:t>
      </w:r>
      <w:r w:rsidR="00BD7874" w:rsidRPr="000631A9">
        <w:fldChar w:fldCharType="begin"/>
      </w:r>
      <w:r w:rsidR="00BD7874" w:rsidRPr="000631A9">
        <w:rPr>
          <w:lang w:val="en-GB"/>
        </w:rPr>
        <w:instrText xml:space="preserve"> SEQ Figure \* ARABIC </w:instrText>
      </w:r>
      <w:r w:rsidR="00BD7874" w:rsidRPr="000631A9">
        <w:fldChar w:fldCharType="separate"/>
      </w:r>
      <w:r w:rsidR="00E138CB">
        <w:rPr>
          <w:noProof/>
          <w:lang w:val="en-GB"/>
        </w:rPr>
        <w:t>1</w:t>
      </w:r>
      <w:r w:rsidR="00BD7874" w:rsidRPr="000631A9">
        <w:rPr>
          <w:noProof/>
        </w:rPr>
        <w:fldChar w:fldCharType="end"/>
      </w:r>
      <w:bookmarkEnd w:id="3"/>
      <w:r w:rsidRPr="000631A9">
        <w:rPr>
          <w:lang w:val="en-GB"/>
        </w:rPr>
        <w:t xml:space="preserve">: </w:t>
      </w:r>
      <w:r w:rsidR="009B71D3" w:rsidRPr="000631A9">
        <w:rPr>
          <w:lang w:val="en-GB"/>
        </w:rPr>
        <w:t>Coverage range for different CC on the DL</w:t>
      </w:r>
    </w:p>
    <w:p w:rsidR="0058524D" w:rsidRPr="000631A9" w:rsidRDefault="0058524D" w:rsidP="0058524D">
      <w:r w:rsidRPr="000631A9">
        <w:t xml:space="preserve">As can be seen </w:t>
      </w:r>
      <w:r w:rsidR="0004466D" w:rsidRPr="000631A9">
        <w:t>CC1 is reaching further than assumed for GPRS today due to the re-definition of the logical channels with more redundancy added.</w:t>
      </w:r>
      <w:r w:rsidR="000A55E2" w:rsidRPr="000631A9">
        <w:t xml:space="preserve"> Most users will hence be classified as being in CC1. The higher the CC the more the penalty of an erroneous CC estimation, and hence the CC range is decreasing with increasing CC.</w:t>
      </w:r>
    </w:p>
    <w:p w:rsidR="00565359" w:rsidRPr="000631A9" w:rsidRDefault="008E0640" w:rsidP="008E0640">
      <w:pPr>
        <w:pStyle w:val="Heading3"/>
      </w:pPr>
      <w:r w:rsidRPr="000631A9">
        <w:t>Uplink</w:t>
      </w:r>
    </w:p>
    <w:p w:rsidR="0058524D" w:rsidRPr="000631A9" w:rsidRDefault="0058524D" w:rsidP="0058524D">
      <w:pPr>
        <w:pStyle w:val="BodyText"/>
        <w:rPr>
          <w:lang w:val="en-GB" w:eastAsia="ko-KR"/>
        </w:rPr>
      </w:pPr>
      <w:r w:rsidRPr="000631A9">
        <w:rPr>
          <w:lang w:val="en-GB" w:eastAsia="ko-KR"/>
        </w:rPr>
        <w:t xml:space="preserve">The results for the </w:t>
      </w:r>
      <w:r w:rsidR="00DE64DE" w:rsidRPr="000631A9">
        <w:rPr>
          <w:lang w:val="en-GB" w:eastAsia="ko-KR"/>
        </w:rPr>
        <w:t>up</w:t>
      </w:r>
      <w:r w:rsidRPr="000631A9">
        <w:rPr>
          <w:lang w:val="en-GB" w:eastAsia="ko-KR"/>
        </w:rPr>
        <w:t xml:space="preserve">link are presented in </w:t>
      </w:r>
      <w:r w:rsidRPr="000631A9">
        <w:rPr>
          <w:lang w:eastAsia="ko-KR"/>
        </w:rPr>
        <w:fldChar w:fldCharType="begin"/>
      </w:r>
      <w:r w:rsidRPr="000631A9">
        <w:rPr>
          <w:lang w:val="en-GB" w:eastAsia="ko-KR"/>
        </w:rPr>
        <w:instrText xml:space="preserve"> REF _Ref437529497 \h </w:instrText>
      </w:r>
      <w:r w:rsidRPr="000631A9">
        <w:rPr>
          <w:lang w:eastAsia="ko-KR"/>
        </w:rPr>
      </w:r>
      <w:r w:rsidRPr="000631A9">
        <w:rPr>
          <w:lang w:eastAsia="ko-KR"/>
        </w:rPr>
        <w:fldChar w:fldCharType="separate"/>
      </w:r>
      <w:r w:rsidR="00E138CB" w:rsidRPr="000631A9">
        <w:rPr>
          <w:lang w:val="en-GB"/>
        </w:rPr>
        <w:t xml:space="preserve">Table </w:t>
      </w:r>
      <w:r w:rsidR="00E138CB">
        <w:rPr>
          <w:noProof/>
          <w:lang w:val="en-GB"/>
        </w:rPr>
        <w:t>4</w:t>
      </w:r>
      <w:r w:rsidRPr="000631A9">
        <w:rPr>
          <w:lang w:eastAsia="ko-KR"/>
        </w:rPr>
        <w:fldChar w:fldCharType="end"/>
      </w:r>
      <w:r w:rsidRPr="000631A9">
        <w:rPr>
          <w:lang w:val="en-GB" w:eastAsia="ko-KR"/>
        </w:rPr>
        <w:t>.</w:t>
      </w:r>
      <w:r w:rsidR="00022C4E" w:rsidRPr="000631A9">
        <w:rPr>
          <w:lang w:val="en-GB" w:eastAsia="ko-KR"/>
        </w:rPr>
        <w:t xml:space="preserve"> Note that for EC-RACH (EC-CCCH/U) 48 blind transmissions have been assumed for CC4. This in an increase to earlier assumed 32 blind transmission</w:t>
      </w:r>
      <w:r w:rsidR="00F67F30" w:rsidRPr="000631A9">
        <w:rPr>
          <w:lang w:val="en-GB" w:eastAsia="ko-KR"/>
        </w:rPr>
        <w:t>s</w:t>
      </w:r>
      <w:r w:rsidR="00022C4E" w:rsidRPr="000631A9">
        <w:rPr>
          <w:lang w:val="en-GB" w:eastAsia="ko-KR"/>
        </w:rPr>
        <w:t>, in order to compensate for the loss of coherency across TDMA frames that have earlier been assumed.</w:t>
      </w:r>
    </w:p>
    <w:p w:rsidR="0058524D" w:rsidRPr="000631A9" w:rsidRDefault="0058524D" w:rsidP="001404E2">
      <w:pPr>
        <w:pStyle w:val="Caption"/>
        <w:keepNext/>
        <w:rPr>
          <w:lang w:val="en-GB"/>
        </w:rPr>
      </w:pPr>
      <w:bookmarkStart w:id="4" w:name="_Ref437529497"/>
      <w:r w:rsidRPr="000631A9">
        <w:rPr>
          <w:lang w:val="en-GB"/>
        </w:rPr>
        <w:lastRenderedPageBreak/>
        <w:t xml:space="preserve">Table </w:t>
      </w:r>
      <w:r w:rsidR="00BD7874" w:rsidRPr="000631A9">
        <w:fldChar w:fldCharType="begin"/>
      </w:r>
      <w:r w:rsidR="00BD7874" w:rsidRPr="000631A9">
        <w:rPr>
          <w:lang w:val="en-GB"/>
        </w:rPr>
        <w:instrText xml:space="preserve"> SEQ Table \* ARABIC </w:instrText>
      </w:r>
      <w:r w:rsidR="00BD7874" w:rsidRPr="000631A9">
        <w:fldChar w:fldCharType="separate"/>
      </w:r>
      <w:r w:rsidR="00E138CB">
        <w:rPr>
          <w:noProof/>
          <w:lang w:val="en-GB"/>
        </w:rPr>
        <w:t>4</w:t>
      </w:r>
      <w:r w:rsidR="00BD7874" w:rsidRPr="000631A9">
        <w:rPr>
          <w:noProof/>
        </w:rPr>
        <w:fldChar w:fldCharType="end"/>
      </w:r>
      <w:bookmarkEnd w:id="4"/>
      <w:r w:rsidRPr="000631A9">
        <w:rPr>
          <w:lang w:val="en-GB"/>
        </w:rPr>
        <w:t xml:space="preserve">: Summary of </w:t>
      </w:r>
      <w:r w:rsidR="008146A0" w:rsidRPr="000631A9">
        <w:rPr>
          <w:lang w:val="en-GB"/>
        </w:rPr>
        <w:t xml:space="preserve">uplink </w:t>
      </w:r>
      <w:r w:rsidRPr="000631A9">
        <w:rPr>
          <w:lang w:val="en-GB"/>
        </w:rPr>
        <w:t>coverage class alignment</w:t>
      </w:r>
    </w:p>
    <w:tbl>
      <w:tblPr>
        <w:tblStyle w:val="TableGrid"/>
        <w:tblW w:w="0" w:type="auto"/>
        <w:jc w:val="center"/>
        <w:tblLook w:val="04A0" w:firstRow="1" w:lastRow="0" w:firstColumn="1" w:lastColumn="0" w:noHBand="0" w:noVBand="1"/>
      </w:tblPr>
      <w:tblGrid>
        <w:gridCol w:w="2235"/>
        <w:gridCol w:w="647"/>
        <w:gridCol w:w="648"/>
        <w:gridCol w:w="659"/>
        <w:gridCol w:w="659"/>
        <w:gridCol w:w="647"/>
        <w:gridCol w:w="648"/>
        <w:gridCol w:w="597"/>
        <w:gridCol w:w="567"/>
      </w:tblGrid>
      <w:tr w:rsidR="000631A9" w:rsidRPr="000631A9" w:rsidTr="00476CF5">
        <w:trPr>
          <w:jc w:val="center"/>
        </w:trPr>
        <w:tc>
          <w:tcPr>
            <w:tcW w:w="2235" w:type="dxa"/>
            <w:shd w:val="clear" w:color="auto" w:fill="DBE5F1" w:themeFill="accent1" w:themeFillTint="33"/>
          </w:tcPr>
          <w:p w:rsidR="00F63EC1" w:rsidRPr="000631A9" w:rsidRDefault="00F63EC1" w:rsidP="00476CF5">
            <w:pPr>
              <w:keepNext/>
              <w:rPr>
                <w:lang w:val="en-GB"/>
              </w:rPr>
            </w:pPr>
          </w:p>
        </w:tc>
        <w:tc>
          <w:tcPr>
            <w:tcW w:w="1295" w:type="dxa"/>
            <w:gridSpan w:val="2"/>
            <w:shd w:val="clear" w:color="auto" w:fill="DBE5F1" w:themeFill="accent1" w:themeFillTint="33"/>
          </w:tcPr>
          <w:p w:rsidR="00F63EC1" w:rsidRPr="000631A9" w:rsidRDefault="00F63EC1" w:rsidP="00476CF5">
            <w:pPr>
              <w:keepNext/>
              <w:jc w:val="center"/>
            </w:pPr>
            <w:r w:rsidRPr="000631A9">
              <w:t xml:space="preserve">CC1 </w:t>
            </w:r>
          </w:p>
        </w:tc>
        <w:tc>
          <w:tcPr>
            <w:tcW w:w="1318" w:type="dxa"/>
            <w:gridSpan w:val="2"/>
            <w:shd w:val="clear" w:color="auto" w:fill="DBE5F1" w:themeFill="accent1" w:themeFillTint="33"/>
          </w:tcPr>
          <w:p w:rsidR="00F63EC1" w:rsidRPr="000631A9" w:rsidRDefault="00F63EC1" w:rsidP="00476CF5">
            <w:pPr>
              <w:keepNext/>
              <w:jc w:val="center"/>
            </w:pPr>
            <w:r w:rsidRPr="000631A9">
              <w:t xml:space="preserve">CC2 </w:t>
            </w:r>
          </w:p>
        </w:tc>
        <w:tc>
          <w:tcPr>
            <w:tcW w:w="1295" w:type="dxa"/>
            <w:gridSpan w:val="2"/>
            <w:shd w:val="clear" w:color="auto" w:fill="DBE5F1" w:themeFill="accent1" w:themeFillTint="33"/>
          </w:tcPr>
          <w:p w:rsidR="00F63EC1" w:rsidRPr="000631A9" w:rsidRDefault="00F63EC1" w:rsidP="00476CF5">
            <w:pPr>
              <w:keepNext/>
              <w:jc w:val="center"/>
            </w:pPr>
            <w:r w:rsidRPr="000631A9">
              <w:t xml:space="preserve">CC3 </w:t>
            </w:r>
          </w:p>
        </w:tc>
        <w:tc>
          <w:tcPr>
            <w:tcW w:w="1133" w:type="dxa"/>
            <w:gridSpan w:val="2"/>
            <w:shd w:val="clear" w:color="auto" w:fill="DBE5F1" w:themeFill="accent1" w:themeFillTint="33"/>
          </w:tcPr>
          <w:p w:rsidR="00F63EC1" w:rsidRPr="000631A9" w:rsidRDefault="00F63EC1" w:rsidP="00476CF5">
            <w:pPr>
              <w:keepNext/>
              <w:jc w:val="center"/>
            </w:pPr>
            <w:r w:rsidRPr="000631A9">
              <w:t>CC4</w:t>
            </w:r>
          </w:p>
        </w:tc>
      </w:tr>
      <w:tr w:rsidR="000631A9" w:rsidRPr="000631A9" w:rsidTr="00476CF5">
        <w:trPr>
          <w:jc w:val="center"/>
        </w:trPr>
        <w:tc>
          <w:tcPr>
            <w:tcW w:w="2235" w:type="dxa"/>
            <w:shd w:val="clear" w:color="auto" w:fill="B8CCE4" w:themeFill="accent1" w:themeFillTint="66"/>
          </w:tcPr>
          <w:p w:rsidR="00F63EC1" w:rsidRPr="000631A9" w:rsidRDefault="00F63EC1" w:rsidP="00476CF5">
            <w:pPr>
              <w:keepNext/>
            </w:pPr>
            <w:r w:rsidRPr="000631A9">
              <w:t>SNR</w:t>
            </w:r>
          </w:p>
        </w:tc>
        <w:tc>
          <w:tcPr>
            <w:tcW w:w="1295" w:type="dxa"/>
            <w:gridSpan w:val="2"/>
            <w:shd w:val="clear" w:color="auto" w:fill="B8CCE4" w:themeFill="accent1" w:themeFillTint="66"/>
          </w:tcPr>
          <w:p w:rsidR="00F63EC1" w:rsidRPr="000631A9" w:rsidRDefault="001F18F0" w:rsidP="00476CF5">
            <w:pPr>
              <w:keepNext/>
              <w:jc w:val="center"/>
            </w:pPr>
            <w:r w:rsidRPr="000631A9">
              <w:t>-2.1</w:t>
            </w:r>
          </w:p>
        </w:tc>
        <w:tc>
          <w:tcPr>
            <w:tcW w:w="1318" w:type="dxa"/>
            <w:gridSpan w:val="2"/>
            <w:shd w:val="clear" w:color="auto" w:fill="B8CCE4" w:themeFill="accent1" w:themeFillTint="66"/>
          </w:tcPr>
          <w:p w:rsidR="00F63EC1" w:rsidRPr="000631A9" w:rsidRDefault="001F18F0" w:rsidP="00476CF5">
            <w:pPr>
              <w:keepNext/>
              <w:jc w:val="center"/>
            </w:pPr>
            <w:r w:rsidRPr="000631A9">
              <w:t>-7.4</w:t>
            </w:r>
          </w:p>
        </w:tc>
        <w:tc>
          <w:tcPr>
            <w:tcW w:w="1295" w:type="dxa"/>
            <w:gridSpan w:val="2"/>
            <w:shd w:val="clear" w:color="auto" w:fill="B8CCE4" w:themeFill="accent1" w:themeFillTint="66"/>
          </w:tcPr>
          <w:p w:rsidR="00F63EC1" w:rsidRPr="000631A9" w:rsidRDefault="001F18F0" w:rsidP="00476CF5">
            <w:pPr>
              <w:keepNext/>
              <w:jc w:val="center"/>
            </w:pPr>
            <w:r w:rsidRPr="000631A9">
              <w:t>-11.0</w:t>
            </w:r>
          </w:p>
        </w:tc>
        <w:tc>
          <w:tcPr>
            <w:tcW w:w="1133" w:type="dxa"/>
            <w:gridSpan w:val="2"/>
            <w:shd w:val="clear" w:color="auto" w:fill="B8CCE4" w:themeFill="accent1" w:themeFillTint="66"/>
          </w:tcPr>
          <w:p w:rsidR="00F63EC1" w:rsidRPr="000631A9" w:rsidRDefault="001F18F0" w:rsidP="00476CF5">
            <w:pPr>
              <w:keepNext/>
              <w:jc w:val="center"/>
            </w:pPr>
            <w:r w:rsidRPr="000631A9">
              <w:t>-13.9</w:t>
            </w:r>
          </w:p>
        </w:tc>
      </w:tr>
      <w:tr w:rsidR="000631A9" w:rsidRPr="000631A9" w:rsidTr="00476CF5">
        <w:trPr>
          <w:jc w:val="center"/>
        </w:trPr>
        <w:tc>
          <w:tcPr>
            <w:tcW w:w="2235" w:type="dxa"/>
            <w:shd w:val="clear" w:color="auto" w:fill="95B3D7" w:themeFill="accent1" w:themeFillTint="99"/>
          </w:tcPr>
          <w:p w:rsidR="00F63EC1" w:rsidRPr="000631A9" w:rsidRDefault="00F63EC1" w:rsidP="00476CF5">
            <w:pPr>
              <w:keepNext/>
            </w:pPr>
            <w:r w:rsidRPr="000631A9">
              <w:t>Logical channel</w:t>
            </w:r>
          </w:p>
        </w:tc>
        <w:tc>
          <w:tcPr>
            <w:tcW w:w="5041" w:type="dxa"/>
            <w:gridSpan w:val="8"/>
            <w:shd w:val="clear" w:color="auto" w:fill="95B3D7" w:themeFill="accent1" w:themeFillTint="99"/>
          </w:tcPr>
          <w:p w:rsidR="00F63EC1" w:rsidRPr="000631A9" w:rsidRDefault="00F63EC1" w:rsidP="00476CF5">
            <w:pPr>
              <w:keepNext/>
              <w:jc w:val="center"/>
            </w:pPr>
            <w:r w:rsidRPr="000631A9">
              <w:t>BLER | # blind transmissions</w:t>
            </w:r>
          </w:p>
        </w:tc>
      </w:tr>
      <w:tr w:rsidR="000631A9" w:rsidRPr="000631A9" w:rsidTr="00476CF5">
        <w:trPr>
          <w:jc w:val="center"/>
        </w:trPr>
        <w:tc>
          <w:tcPr>
            <w:tcW w:w="2235" w:type="dxa"/>
          </w:tcPr>
          <w:p w:rsidR="00F63EC1" w:rsidRPr="000631A9" w:rsidRDefault="004433A7" w:rsidP="00476CF5">
            <w:pPr>
              <w:keepNext/>
            </w:pPr>
            <w:r w:rsidRPr="000631A9">
              <w:t>EC-CCCH/U</w:t>
            </w:r>
          </w:p>
        </w:tc>
        <w:tc>
          <w:tcPr>
            <w:tcW w:w="647" w:type="dxa"/>
            <w:tcBorders>
              <w:right w:val="single" w:sz="4" w:space="0" w:color="auto"/>
            </w:tcBorders>
          </w:tcPr>
          <w:p w:rsidR="00F63EC1" w:rsidRPr="000631A9" w:rsidRDefault="00BA1543" w:rsidP="00476CF5">
            <w:pPr>
              <w:keepNext/>
              <w:jc w:val="center"/>
            </w:pPr>
            <w:r w:rsidRPr="000631A9">
              <w:t>20%</w:t>
            </w:r>
          </w:p>
        </w:tc>
        <w:tc>
          <w:tcPr>
            <w:tcW w:w="648" w:type="dxa"/>
            <w:tcBorders>
              <w:left w:val="single" w:sz="4" w:space="0" w:color="auto"/>
              <w:right w:val="double" w:sz="4" w:space="0" w:color="auto"/>
            </w:tcBorders>
          </w:tcPr>
          <w:p w:rsidR="00F63EC1" w:rsidRPr="000631A9" w:rsidRDefault="003C3FEE" w:rsidP="00476CF5">
            <w:pPr>
              <w:keepNext/>
              <w:jc w:val="center"/>
            </w:pPr>
            <w:r w:rsidRPr="000631A9">
              <w:t>-</w:t>
            </w:r>
          </w:p>
        </w:tc>
        <w:tc>
          <w:tcPr>
            <w:tcW w:w="659" w:type="dxa"/>
            <w:tcBorders>
              <w:left w:val="double" w:sz="4" w:space="0" w:color="auto"/>
              <w:bottom w:val="single" w:sz="4" w:space="0" w:color="auto"/>
              <w:right w:val="single" w:sz="4" w:space="0" w:color="auto"/>
            </w:tcBorders>
          </w:tcPr>
          <w:p w:rsidR="00F63EC1" w:rsidRPr="000631A9" w:rsidRDefault="007F7AD7" w:rsidP="00476CF5">
            <w:pPr>
              <w:keepNext/>
              <w:jc w:val="center"/>
            </w:pPr>
            <w:r w:rsidRPr="000631A9">
              <w:t>20%</w:t>
            </w:r>
          </w:p>
        </w:tc>
        <w:tc>
          <w:tcPr>
            <w:tcW w:w="659" w:type="dxa"/>
            <w:tcBorders>
              <w:left w:val="single" w:sz="4" w:space="0" w:color="auto"/>
              <w:bottom w:val="single" w:sz="4" w:space="0" w:color="auto"/>
              <w:right w:val="double" w:sz="4" w:space="0" w:color="auto"/>
            </w:tcBorders>
          </w:tcPr>
          <w:p w:rsidR="00F63EC1" w:rsidRPr="000631A9" w:rsidRDefault="00747DAF" w:rsidP="00476CF5">
            <w:pPr>
              <w:keepNext/>
              <w:jc w:val="center"/>
            </w:pPr>
            <w:r w:rsidRPr="000631A9">
              <w:t>4</w:t>
            </w:r>
          </w:p>
        </w:tc>
        <w:tc>
          <w:tcPr>
            <w:tcW w:w="647" w:type="dxa"/>
            <w:tcBorders>
              <w:left w:val="double" w:sz="4" w:space="0" w:color="auto"/>
              <w:right w:val="single" w:sz="4" w:space="0" w:color="auto"/>
            </w:tcBorders>
          </w:tcPr>
          <w:p w:rsidR="00F63EC1" w:rsidRPr="000631A9" w:rsidRDefault="007F7AD7" w:rsidP="00476CF5">
            <w:pPr>
              <w:keepNext/>
              <w:jc w:val="center"/>
            </w:pPr>
            <w:r w:rsidRPr="000631A9">
              <w:t>20%</w:t>
            </w:r>
          </w:p>
        </w:tc>
        <w:tc>
          <w:tcPr>
            <w:tcW w:w="648" w:type="dxa"/>
            <w:tcBorders>
              <w:left w:val="single" w:sz="4" w:space="0" w:color="auto"/>
              <w:right w:val="double" w:sz="4" w:space="0" w:color="auto"/>
            </w:tcBorders>
          </w:tcPr>
          <w:p w:rsidR="00F63EC1" w:rsidRPr="000631A9" w:rsidRDefault="00747DAF" w:rsidP="00476CF5">
            <w:pPr>
              <w:keepNext/>
              <w:jc w:val="center"/>
            </w:pPr>
            <w:r w:rsidRPr="000631A9">
              <w:t>16</w:t>
            </w:r>
          </w:p>
        </w:tc>
        <w:tc>
          <w:tcPr>
            <w:tcW w:w="566" w:type="dxa"/>
            <w:tcBorders>
              <w:left w:val="double" w:sz="4" w:space="0" w:color="auto"/>
              <w:right w:val="single" w:sz="4" w:space="0" w:color="auto"/>
            </w:tcBorders>
          </w:tcPr>
          <w:p w:rsidR="00F63EC1" w:rsidRPr="000631A9" w:rsidRDefault="007F7AD7" w:rsidP="00476CF5">
            <w:pPr>
              <w:keepNext/>
              <w:jc w:val="center"/>
            </w:pPr>
            <w:r w:rsidRPr="000631A9">
              <w:t>20%</w:t>
            </w:r>
          </w:p>
        </w:tc>
        <w:tc>
          <w:tcPr>
            <w:tcW w:w="567" w:type="dxa"/>
            <w:tcBorders>
              <w:left w:val="single" w:sz="4" w:space="0" w:color="auto"/>
              <w:right w:val="double" w:sz="4" w:space="0" w:color="auto"/>
            </w:tcBorders>
          </w:tcPr>
          <w:p w:rsidR="00F63EC1" w:rsidRPr="000631A9" w:rsidRDefault="00747DAF" w:rsidP="00476CF5">
            <w:pPr>
              <w:keepNext/>
              <w:jc w:val="center"/>
            </w:pPr>
            <w:r w:rsidRPr="000631A9">
              <w:t>48</w:t>
            </w:r>
          </w:p>
        </w:tc>
      </w:tr>
      <w:tr w:rsidR="000631A9" w:rsidRPr="000631A9" w:rsidTr="00476CF5">
        <w:trPr>
          <w:jc w:val="center"/>
        </w:trPr>
        <w:tc>
          <w:tcPr>
            <w:tcW w:w="2235" w:type="dxa"/>
          </w:tcPr>
          <w:p w:rsidR="00F63EC1" w:rsidRPr="000631A9" w:rsidRDefault="004433A7" w:rsidP="00476CF5">
            <w:pPr>
              <w:keepNext/>
            </w:pPr>
            <w:r w:rsidRPr="000631A9">
              <w:t>EC-PACCH/U</w:t>
            </w:r>
          </w:p>
        </w:tc>
        <w:tc>
          <w:tcPr>
            <w:tcW w:w="647" w:type="dxa"/>
            <w:tcBorders>
              <w:right w:val="single" w:sz="4" w:space="0" w:color="auto"/>
            </w:tcBorders>
          </w:tcPr>
          <w:p w:rsidR="00F63EC1" w:rsidRPr="000631A9" w:rsidRDefault="00BA1543" w:rsidP="00476CF5">
            <w:pPr>
              <w:keepNext/>
              <w:jc w:val="center"/>
            </w:pPr>
            <w:r w:rsidRPr="000631A9">
              <w:t>9%</w:t>
            </w:r>
          </w:p>
        </w:tc>
        <w:tc>
          <w:tcPr>
            <w:tcW w:w="648" w:type="dxa"/>
            <w:tcBorders>
              <w:left w:val="single" w:sz="4" w:space="0" w:color="auto"/>
              <w:right w:val="double" w:sz="4" w:space="0" w:color="auto"/>
            </w:tcBorders>
          </w:tcPr>
          <w:p w:rsidR="00F63EC1" w:rsidRPr="000631A9" w:rsidRDefault="003C3FEE" w:rsidP="00476CF5">
            <w:pPr>
              <w:keepNext/>
              <w:jc w:val="center"/>
            </w:pPr>
            <w:r w:rsidRPr="000631A9">
              <w:t>-</w:t>
            </w:r>
          </w:p>
        </w:tc>
        <w:tc>
          <w:tcPr>
            <w:tcW w:w="659" w:type="dxa"/>
            <w:tcBorders>
              <w:left w:val="double" w:sz="4" w:space="0" w:color="auto"/>
              <w:bottom w:val="single" w:sz="4" w:space="0" w:color="auto"/>
              <w:right w:val="single" w:sz="4" w:space="0" w:color="auto"/>
            </w:tcBorders>
          </w:tcPr>
          <w:p w:rsidR="00F63EC1" w:rsidRPr="000631A9" w:rsidRDefault="007F7AD7" w:rsidP="00476CF5">
            <w:pPr>
              <w:keepNext/>
              <w:jc w:val="center"/>
            </w:pPr>
            <w:r w:rsidRPr="000631A9">
              <w:t>6%</w:t>
            </w:r>
          </w:p>
        </w:tc>
        <w:tc>
          <w:tcPr>
            <w:tcW w:w="659" w:type="dxa"/>
            <w:tcBorders>
              <w:left w:val="single" w:sz="4" w:space="0" w:color="auto"/>
              <w:bottom w:val="single" w:sz="4" w:space="0" w:color="auto"/>
              <w:right w:val="double" w:sz="4" w:space="0" w:color="auto"/>
            </w:tcBorders>
          </w:tcPr>
          <w:p w:rsidR="00F63EC1" w:rsidRPr="000631A9" w:rsidRDefault="00747DAF" w:rsidP="00476CF5">
            <w:pPr>
              <w:keepNext/>
              <w:jc w:val="center"/>
            </w:pPr>
            <w:r w:rsidRPr="000631A9">
              <w:t>4</w:t>
            </w:r>
          </w:p>
        </w:tc>
        <w:tc>
          <w:tcPr>
            <w:tcW w:w="647" w:type="dxa"/>
            <w:tcBorders>
              <w:left w:val="double" w:sz="4" w:space="0" w:color="auto"/>
              <w:right w:val="single" w:sz="4" w:space="0" w:color="auto"/>
            </w:tcBorders>
          </w:tcPr>
          <w:p w:rsidR="00F63EC1" w:rsidRPr="000631A9" w:rsidRDefault="007F7AD7" w:rsidP="00476CF5">
            <w:pPr>
              <w:keepNext/>
              <w:jc w:val="center"/>
            </w:pPr>
            <w:r w:rsidRPr="000631A9">
              <w:t>9%</w:t>
            </w:r>
          </w:p>
        </w:tc>
        <w:tc>
          <w:tcPr>
            <w:tcW w:w="648" w:type="dxa"/>
            <w:tcBorders>
              <w:left w:val="single" w:sz="4" w:space="0" w:color="auto"/>
              <w:right w:val="double" w:sz="4" w:space="0" w:color="auto"/>
            </w:tcBorders>
          </w:tcPr>
          <w:p w:rsidR="00F63EC1" w:rsidRPr="000631A9" w:rsidRDefault="00747DAF" w:rsidP="00476CF5">
            <w:pPr>
              <w:keepNext/>
              <w:jc w:val="center"/>
            </w:pPr>
            <w:r w:rsidRPr="000631A9">
              <w:t>8</w:t>
            </w:r>
          </w:p>
        </w:tc>
        <w:tc>
          <w:tcPr>
            <w:tcW w:w="566" w:type="dxa"/>
            <w:tcBorders>
              <w:left w:val="double" w:sz="4" w:space="0" w:color="auto"/>
              <w:right w:val="single" w:sz="4" w:space="0" w:color="auto"/>
            </w:tcBorders>
          </w:tcPr>
          <w:p w:rsidR="00F63EC1" w:rsidRPr="000631A9" w:rsidRDefault="007F7AD7" w:rsidP="00476CF5">
            <w:pPr>
              <w:keepNext/>
              <w:jc w:val="center"/>
            </w:pPr>
            <w:r w:rsidRPr="000631A9">
              <w:t>10%</w:t>
            </w:r>
          </w:p>
        </w:tc>
        <w:tc>
          <w:tcPr>
            <w:tcW w:w="567" w:type="dxa"/>
            <w:tcBorders>
              <w:left w:val="single" w:sz="4" w:space="0" w:color="auto"/>
              <w:right w:val="double" w:sz="4" w:space="0" w:color="auto"/>
            </w:tcBorders>
          </w:tcPr>
          <w:p w:rsidR="00F63EC1" w:rsidRPr="000631A9" w:rsidRDefault="00747DAF" w:rsidP="00476CF5">
            <w:pPr>
              <w:keepNext/>
              <w:jc w:val="center"/>
            </w:pPr>
            <w:r w:rsidRPr="000631A9">
              <w:t>16</w:t>
            </w:r>
          </w:p>
        </w:tc>
      </w:tr>
      <w:tr w:rsidR="000631A9" w:rsidRPr="000631A9" w:rsidTr="00476CF5">
        <w:trPr>
          <w:jc w:val="center"/>
        </w:trPr>
        <w:tc>
          <w:tcPr>
            <w:tcW w:w="2235" w:type="dxa"/>
          </w:tcPr>
          <w:p w:rsidR="00F63EC1" w:rsidRPr="000631A9" w:rsidRDefault="004433A7" w:rsidP="00476CF5">
            <w:r w:rsidRPr="000631A9">
              <w:t>EC-PDTCH/U</w:t>
            </w:r>
          </w:p>
        </w:tc>
        <w:tc>
          <w:tcPr>
            <w:tcW w:w="647" w:type="dxa"/>
            <w:tcBorders>
              <w:right w:val="single" w:sz="4" w:space="0" w:color="auto"/>
            </w:tcBorders>
          </w:tcPr>
          <w:p w:rsidR="00F63EC1" w:rsidRPr="000631A9" w:rsidRDefault="00BA1543" w:rsidP="00476CF5">
            <w:pPr>
              <w:jc w:val="center"/>
            </w:pPr>
            <w:r w:rsidRPr="000631A9">
              <w:t>47%</w:t>
            </w:r>
          </w:p>
        </w:tc>
        <w:tc>
          <w:tcPr>
            <w:tcW w:w="648" w:type="dxa"/>
            <w:tcBorders>
              <w:left w:val="single" w:sz="4" w:space="0" w:color="auto"/>
              <w:right w:val="double" w:sz="4" w:space="0" w:color="auto"/>
            </w:tcBorders>
          </w:tcPr>
          <w:p w:rsidR="00F63EC1" w:rsidRPr="000631A9" w:rsidRDefault="003C3FEE" w:rsidP="00476CF5">
            <w:pPr>
              <w:jc w:val="center"/>
            </w:pPr>
            <w:r w:rsidRPr="000631A9">
              <w:t>-</w:t>
            </w:r>
          </w:p>
        </w:tc>
        <w:tc>
          <w:tcPr>
            <w:tcW w:w="659" w:type="dxa"/>
            <w:tcBorders>
              <w:left w:val="double" w:sz="4" w:space="0" w:color="auto"/>
              <w:right w:val="single" w:sz="4" w:space="0" w:color="auto"/>
            </w:tcBorders>
          </w:tcPr>
          <w:p w:rsidR="00F63EC1" w:rsidRPr="000631A9" w:rsidRDefault="007F7AD7" w:rsidP="00476CF5">
            <w:pPr>
              <w:jc w:val="center"/>
            </w:pPr>
            <w:r w:rsidRPr="000631A9">
              <w:t>38%</w:t>
            </w:r>
          </w:p>
        </w:tc>
        <w:tc>
          <w:tcPr>
            <w:tcW w:w="659" w:type="dxa"/>
            <w:tcBorders>
              <w:left w:val="single" w:sz="4" w:space="0" w:color="auto"/>
              <w:right w:val="double" w:sz="4" w:space="0" w:color="auto"/>
            </w:tcBorders>
          </w:tcPr>
          <w:p w:rsidR="00F63EC1" w:rsidRPr="000631A9" w:rsidRDefault="00747DAF" w:rsidP="00476CF5">
            <w:pPr>
              <w:jc w:val="center"/>
            </w:pPr>
            <w:r w:rsidRPr="000631A9">
              <w:t>4</w:t>
            </w:r>
          </w:p>
        </w:tc>
        <w:tc>
          <w:tcPr>
            <w:tcW w:w="647" w:type="dxa"/>
            <w:tcBorders>
              <w:left w:val="double" w:sz="4" w:space="0" w:color="auto"/>
              <w:right w:val="single" w:sz="4" w:space="0" w:color="auto"/>
            </w:tcBorders>
          </w:tcPr>
          <w:p w:rsidR="00F63EC1" w:rsidRPr="000631A9" w:rsidRDefault="007F7AD7" w:rsidP="00476CF5">
            <w:pPr>
              <w:jc w:val="center"/>
            </w:pPr>
            <w:r w:rsidRPr="000631A9">
              <w:t>45%</w:t>
            </w:r>
          </w:p>
        </w:tc>
        <w:tc>
          <w:tcPr>
            <w:tcW w:w="648" w:type="dxa"/>
            <w:tcBorders>
              <w:left w:val="single" w:sz="4" w:space="0" w:color="auto"/>
              <w:right w:val="double" w:sz="4" w:space="0" w:color="auto"/>
            </w:tcBorders>
          </w:tcPr>
          <w:p w:rsidR="00F63EC1" w:rsidRPr="000631A9" w:rsidRDefault="00747DAF" w:rsidP="00476CF5">
            <w:pPr>
              <w:jc w:val="center"/>
            </w:pPr>
            <w:r w:rsidRPr="000631A9">
              <w:t>8</w:t>
            </w:r>
          </w:p>
        </w:tc>
        <w:tc>
          <w:tcPr>
            <w:tcW w:w="566" w:type="dxa"/>
            <w:tcBorders>
              <w:left w:val="double" w:sz="4" w:space="0" w:color="auto"/>
              <w:right w:val="single" w:sz="4" w:space="0" w:color="auto"/>
            </w:tcBorders>
          </w:tcPr>
          <w:p w:rsidR="00F63EC1" w:rsidRPr="000631A9" w:rsidRDefault="007F7AD7" w:rsidP="00476CF5">
            <w:pPr>
              <w:jc w:val="center"/>
            </w:pPr>
            <w:r w:rsidRPr="000631A9">
              <w:t>47%</w:t>
            </w:r>
          </w:p>
        </w:tc>
        <w:tc>
          <w:tcPr>
            <w:tcW w:w="567" w:type="dxa"/>
            <w:tcBorders>
              <w:left w:val="single" w:sz="4" w:space="0" w:color="auto"/>
              <w:right w:val="double" w:sz="4" w:space="0" w:color="auto"/>
            </w:tcBorders>
          </w:tcPr>
          <w:p w:rsidR="00F63EC1" w:rsidRPr="000631A9" w:rsidRDefault="00747DAF" w:rsidP="00476CF5">
            <w:pPr>
              <w:jc w:val="center"/>
            </w:pPr>
            <w:r w:rsidRPr="000631A9">
              <w:t>16</w:t>
            </w:r>
          </w:p>
        </w:tc>
      </w:tr>
    </w:tbl>
    <w:p w:rsidR="00DE64DE" w:rsidRPr="000631A9" w:rsidRDefault="00DE64DE" w:rsidP="0058524D">
      <w:pPr>
        <w:pStyle w:val="BodyText"/>
      </w:pPr>
      <w:r w:rsidRPr="000631A9">
        <w:t xml:space="preserve"> </w:t>
      </w:r>
    </w:p>
    <w:p w:rsidR="0058524D" w:rsidRPr="000631A9" w:rsidRDefault="0058524D" w:rsidP="0058524D">
      <w:pPr>
        <w:pStyle w:val="BodyText"/>
        <w:rPr>
          <w:lang w:val="en-GB"/>
        </w:rPr>
      </w:pPr>
      <w:r w:rsidRPr="000631A9">
        <w:rPr>
          <w:lang w:val="en-GB"/>
        </w:rPr>
        <w:t xml:space="preserve">The resulting coverage range for each coverage class is shown in </w:t>
      </w:r>
      <w:r w:rsidRPr="000631A9">
        <w:fldChar w:fldCharType="begin"/>
      </w:r>
      <w:r w:rsidRPr="000631A9">
        <w:rPr>
          <w:lang w:val="en-GB"/>
        </w:rPr>
        <w:instrText xml:space="preserve"> REF _Ref437528482 \h </w:instrText>
      </w:r>
      <w:r w:rsidRPr="000631A9">
        <w:fldChar w:fldCharType="separate"/>
      </w:r>
      <w:r w:rsidR="00E138CB" w:rsidRPr="000631A9">
        <w:rPr>
          <w:lang w:val="en-GB"/>
        </w:rPr>
        <w:t xml:space="preserve">Figure </w:t>
      </w:r>
      <w:r w:rsidR="00E138CB">
        <w:rPr>
          <w:noProof/>
          <w:lang w:val="en-GB"/>
        </w:rPr>
        <w:t>1</w:t>
      </w:r>
      <w:r w:rsidRPr="000631A9">
        <w:fldChar w:fldCharType="end"/>
      </w:r>
      <w:r w:rsidRPr="000631A9">
        <w:rPr>
          <w:lang w:val="en-GB"/>
        </w:rPr>
        <w:t xml:space="preserve">. In addition to the targeted </w:t>
      </w:r>
      <w:r w:rsidR="008146A0" w:rsidRPr="000631A9">
        <w:rPr>
          <w:lang w:val="en-GB"/>
        </w:rPr>
        <w:t xml:space="preserve">UL </w:t>
      </w:r>
      <w:r w:rsidRPr="000631A9">
        <w:rPr>
          <w:lang w:val="en-GB"/>
        </w:rPr>
        <w:t xml:space="preserve">SNR, the resulting coupling loss is also shown (assuming </w:t>
      </w:r>
      <w:r w:rsidR="008146A0" w:rsidRPr="000631A9">
        <w:rPr>
          <w:lang w:val="en-GB"/>
        </w:rPr>
        <w:t xml:space="preserve">33 </w:t>
      </w:r>
      <w:r w:rsidRPr="000631A9">
        <w:rPr>
          <w:lang w:val="en-GB"/>
        </w:rPr>
        <w:t xml:space="preserve">dBm </w:t>
      </w:r>
      <w:r w:rsidR="008146A0" w:rsidRPr="000631A9">
        <w:rPr>
          <w:lang w:val="en-GB"/>
        </w:rPr>
        <w:t xml:space="preserve">MS </w:t>
      </w:r>
      <w:r w:rsidRPr="000631A9">
        <w:rPr>
          <w:lang w:val="en-GB"/>
        </w:rPr>
        <w:t>output power).</w:t>
      </w:r>
    </w:p>
    <w:p w:rsidR="0058524D" w:rsidRPr="000631A9" w:rsidRDefault="009A3ED4" w:rsidP="0058524D">
      <w:pPr>
        <w:pStyle w:val="BodyText"/>
      </w:pPr>
      <w:r w:rsidRPr="000631A9">
        <w:object w:dxaOrig="9795" w:dyaOrig="1845">
          <v:shape id="_x0000_i1026" type="#_x0000_t75" style="width:413.2pt;height:78.25pt" o:ole="">
            <v:imagedata r:id="rId11" o:title=""/>
          </v:shape>
          <o:OLEObject Type="Embed" ProgID="Visio.Drawing.15" ShapeID="_x0000_i1026" DrawAspect="Content" ObjectID="_1516554345" r:id="rId12"/>
        </w:object>
      </w:r>
    </w:p>
    <w:p w:rsidR="0058524D" w:rsidRPr="000631A9" w:rsidRDefault="0058524D" w:rsidP="0058524D">
      <w:pPr>
        <w:pStyle w:val="Caption"/>
        <w:rPr>
          <w:lang w:val="en-GB"/>
        </w:rPr>
      </w:pPr>
      <w:bookmarkStart w:id="5" w:name="_Ref437611563"/>
      <w:r w:rsidRPr="000631A9">
        <w:rPr>
          <w:lang w:val="en-GB"/>
        </w:rPr>
        <w:t xml:space="preserve">Figure </w:t>
      </w:r>
      <w:r w:rsidR="00BD7874" w:rsidRPr="000631A9">
        <w:fldChar w:fldCharType="begin"/>
      </w:r>
      <w:r w:rsidR="00BD7874" w:rsidRPr="000631A9">
        <w:rPr>
          <w:lang w:val="en-GB"/>
        </w:rPr>
        <w:instrText xml:space="preserve"> SEQ Figure \* ARABIC </w:instrText>
      </w:r>
      <w:r w:rsidR="00BD7874" w:rsidRPr="000631A9">
        <w:fldChar w:fldCharType="separate"/>
      </w:r>
      <w:r w:rsidR="00E138CB">
        <w:rPr>
          <w:noProof/>
          <w:lang w:val="en-GB"/>
        </w:rPr>
        <w:t>2</w:t>
      </w:r>
      <w:r w:rsidR="00BD7874" w:rsidRPr="000631A9">
        <w:rPr>
          <w:noProof/>
        </w:rPr>
        <w:fldChar w:fldCharType="end"/>
      </w:r>
      <w:bookmarkEnd w:id="5"/>
      <w:r w:rsidRPr="000631A9">
        <w:rPr>
          <w:lang w:val="en-GB"/>
        </w:rPr>
        <w:t xml:space="preserve">: Coverage range for different CC on the </w:t>
      </w:r>
      <w:r w:rsidR="008146A0" w:rsidRPr="000631A9">
        <w:rPr>
          <w:lang w:val="en-GB"/>
        </w:rPr>
        <w:t>UL</w:t>
      </w:r>
    </w:p>
    <w:p w:rsidR="0058524D" w:rsidRPr="000631A9" w:rsidRDefault="0058524D" w:rsidP="0058524D">
      <w:r w:rsidRPr="000631A9">
        <w:t xml:space="preserve">As can be seen </w:t>
      </w:r>
      <w:r w:rsidR="00C366FD" w:rsidRPr="000631A9">
        <w:t>similar effects as for the DL is also seen for the UL, where CC1 extends beyond current GPRS coverage mainly due to the increased redundancy on the EC-PACCH (PACCH was found to be the limiting channel in GPRS operation)</w:t>
      </w:r>
      <w:r w:rsidR="009A273F" w:rsidRPr="000631A9">
        <w:t>.</w:t>
      </w:r>
      <w:r w:rsidR="002D2951" w:rsidRPr="000631A9">
        <w:t xml:space="preserve"> As for the DL, the CC range is decreased with increasing CC.</w:t>
      </w:r>
    </w:p>
    <w:p w:rsidR="00190296" w:rsidRPr="000631A9" w:rsidRDefault="00190296" w:rsidP="0058524D">
      <w:r w:rsidRPr="000631A9">
        <w:t xml:space="preserve">Note that if 2 TS are instead used for the EC-RACH, see </w:t>
      </w:r>
      <w:r w:rsidR="00F67F30" w:rsidRPr="000631A9">
        <w:rPr>
          <w:highlight w:val="yellow"/>
        </w:rPr>
        <w:fldChar w:fldCharType="begin"/>
      </w:r>
      <w:r w:rsidR="00F67F30" w:rsidRPr="000631A9">
        <w:instrText xml:space="preserve"> REF _Ref437847368 \r \h </w:instrText>
      </w:r>
      <w:r w:rsidR="00F67F30" w:rsidRPr="000631A9">
        <w:rPr>
          <w:highlight w:val="yellow"/>
        </w:rPr>
      </w:r>
      <w:r w:rsidR="00F67F30" w:rsidRPr="000631A9">
        <w:rPr>
          <w:highlight w:val="yellow"/>
        </w:rPr>
        <w:fldChar w:fldCharType="separate"/>
      </w:r>
      <w:r w:rsidR="00E138CB">
        <w:t>[4]</w:t>
      </w:r>
      <w:r w:rsidR="00F67F30" w:rsidRPr="000631A9">
        <w:rPr>
          <w:highlight w:val="yellow"/>
        </w:rPr>
        <w:fldChar w:fldCharType="end"/>
      </w:r>
      <w:r w:rsidRPr="000631A9">
        <w:t xml:space="preserve"> </w:t>
      </w:r>
      <w:r w:rsidRPr="000631A9">
        <w:rPr>
          <w:highlight w:val="yellow"/>
        </w:rPr>
        <w:fldChar w:fldCharType="begin"/>
      </w:r>
      <w:r w:rsidRPr="000631A9">
        <w:instrText xml:space="preserve"> REF _Ref437529497 \h </w:instrText>
      </w:r>
      <w:r w:rsidRPr="000631A9">
        <w:rPr>
          <w:highlight w:val="yellow"/>
        </w:rPr>
      </w:r>
      <w:r w:rsidRPr="000631A9">
        <w:rPr>
          <w:highlight w:val="yellow"/>
        </w:rPr>
        <w:fldChar w:fldCharType="separate"/>
      </w:r>
      <w:r w:rsidR="00E138CB" w:rsidRPr="000631A9">
        <w:rPr>
          <w:lang w:val="en-GB"/>
        </w:rPr>
        <w:t xml:space="preserve">Table </w:t>
      </w:r>
      <w:r w:rsidR="00E138CB">
        <w:rPr>
          <w:noProof/>
          <w:lang w:val="en-GB"/>
        </w:rPr>
        <w:t>4</w:t>
      </w:r>
      <w:r w:rsidRPr="000631A9">
        <w:rPr>
          <w:highlight w:val="yellow"/>
        </w:rPr>
        <w:fldChar w:fldCharType="end"/>
      </w:r>
      <w:r w:rsidRPr="000631A9">
        <w:t xml:space="preserve"> will be slightly changed for EC-CCCH as shown in </w:t>
      </w:r>
      <w:r w:rsidRPr="000631A9">
        <w:fldChar w:fldCharType="begin"/>
      </w:r>
      <w:r w:rsidRPr="000631A9">
        <w:instrText xml:space="preserve"> REF _Ref437611478 \h </w:instrText>
      </w:r>
      <w:r w:rsidRPr="000631A9">
        <w:fldChar w:fldCharType="separate"/>
      </w:r>
      <w:r w:rsidR="00E138CB" w:rsidRPr="000631A9">
        <w:t xml:space="preserve">Table </w:t>
      </w:r>
      <w:r w:rsidR="00E138CB">
        <w:rPr>
          <w:noProof/>
        </w:rPr>
        <w:t>5</w:t>
      </w:r>
      <w:r w:rsidRPr="000631A9">
        <w:fldChar w:fldCharType="end"/>
      </w:r>
      <w:r w:rsidRPr="000631A9">
        <w:t>.</w:t>
      </w:r>
    </w:p>
    <w:p w:rsidR="00190296" w:rsidRPr="000631A9" w:rsidRDefault="00190296" w:rsidP="005A0E8D">
      <w:pPr>
        <w:pStyle w:val="Caption"/>
      </w:pPr>
      <w:bookmarkStart w:id="6" w:name="_Ref437611478"/>
      <w:r w:rsidRPr="000631A9">
        <w:t xml:space="preserve">Table </w:t>
      </w:r>
      <w:r w:rsidR="0093335B">
        <w:fldChar w:fldCharType="begin"/>
      </w:r>
      <w:r w:rsidR="0093335B">
        <w:instrText xml:space="preserve"> SEQ Table \* ARABIC </w:instrText>
      </w:r>
      <w:r w:rsidR="0093335B">
        <w:fldChar w:fldCharType="separate"/>
      </w:r>
      <w:r w:rsidR="00E138CB">
        <w:rPr>
          <w:noProof/>
        </w:rPr>
        <w:t>5</w:t>
      </w:r>
      <w:r w:rsidR="0093335B">
        <w:rPr>
          <w:noProof/>
        </w:rPr>
        <w:fldChar w:fldCharType="end"/>
      </w:r>
      <w:bookmarkEnd w:id="6"/>
      <w:r w:rsidR="002551D7" w:rsidRPr="000631A9">
        <w:t>:</w:t>
      </w:r>
      <w:r w:rsidRPr="000631A9">
        <w:t xml:space="preserve"> </w:t>
      </w:r>
      <w:r w:rsidR="005A0E8D" w:rsidRPr="000631A9">
        <w:rPr>
          <w:lang w:val="en-GB"/>
        </w:rPr>
        <w:t>Summary of uplink coverage class alignment with 2 TS RACH mapping</w:t>
      </w:r>
      <w:r w:rsidR="002551D7" w:rsidRPr="000631A9">
        <w:rPr>
          <w:lang w:val="en-GB"/>
        </w:rPr>
        <w:t>, [1,4,8,32] repetitions</w:t>
      </w:r>
    </w:p>
    <w:tbl>
      <w:tblPr>
        <w:tblStyle w:val="TableGrid"/>
        <w:tblW w:w="0" w:type="auto"/>
        <w:jc w:val="center"/>
        <w:tblLook w:val="04A0" w:firstRow="1" w:lastRow="0" w:firstColumn="1" w:lastColumn="0" w:noHBand="0" w:noVBand="1"/>
      </w:tblPr>
      <w:tblGrid>
        <w:gridCol w:w="2235"/>
        <w:gridCol w:w="647"/>
        <w:gridCol w:w="648"/>
        <w:gridCol w:w="659"/>
        <w:gridCol w:w="659"/>
        <w:gridCol w:w="647"/>
        <w:gridCol w:w="648"/>
        <w:gridCol w:w="597"/>
        <w:gridCol w:w="567"/>
      </w:tblGrid>
      <w:tr w:rsidR="000631A9" w:rsidRPr="000631A9" w:rsidTr="00476CF5">
        <w:trPr>
          <w:jc w:val="center"/>
        </w:trPr>
        <w:tc>
          <w:tcPr>
            <w:tcW w:w="2235" w:type="dxa"/>
            <w:shd w:val="clear" w:color="auto" w:fill="DBE5F1" w:themeFill="accent1" w:themeFillTint="33"/>
          </w:tcPr>
          <w:p w:rsidR="00190296" w:rsidRPr="000631A9" w:rsidRDefault="00190296" w:rsidP="00476CF5">
            <w:pPr>
              <w:keepNext/>
              <w:rPr>
                <w:lang w:val="en-GB"/>
              </w:rPr>
            </w:pPr>
          </w:p>
        </w:tc>
        <w:tc>
          <w:tcPr>
            <w:tcW w:w="1295" w:type="dxa"/>
            <w:gridSpan w:val="2"/>
            <w:shd w:val="clear" w:color="auto" w:fill="DBE5F1" w:themeFill="accent1" w:themeFillTint="33"/>
          </w:tcPr>
          <w:p w:rsidR="00190296" w:rsidRPr="000631A9" w:rsidRDefault="00190296" w:rsidP="00476CF5">
            <w:pPr>
              <w:keepNext/>
              <w:jc w:val="center"/>
            </w:pPr>
            <w:r w:rsidRPr="000631A9">
              <w:t xml:space="preserve">CC1 </w:t>
            </w:r>
          </w:p>
        </w:tc>
        <w:tc>
          <w:tcPr>
            <w:tcW w:w="1318" w:type="dxa"/>
            <w:gridSpan w:val="2"/>
            <w:shd w:val="clear" w:color="auto" w:fill="DBE5F1" w:themeFill="accent1" w:themeFillTint="33"/>
          </w:tcPr>
          <w:p w:rsidR="00190296" w:rsidRPr="000631A9" w:rsidRDefault="00190296" w:rsidP="00476CF5">
            <w:pPr>
              <w:keepNext/>
              <w:jc w:val="center"/>
            </w:pPr>
            <w:r w:rsidRPr="000631A9">
              <w:t xml:space="preserve">CC2 </w:t>
            </w:r>
          </w:p>
        </w:tc>
        <w:tc>
          <w:tcPr>
            <w:tcW w:w="1295" w:type="dxa"/>
            <w:gridSpan w:val="2"/>
            <w:shd w:val="clear" w:color="auto" w:fill="DBE5F1" w:themeFill="accent1" w:themeFillTint="33"/>
          </w:tcPr>
          <w:p w:rsidR="00190296" w:rsidRPr="000631A9" w:rsidRDefault="00190296" w:rsidP="00476CF5">
            <w:pPr>
              <w:keepNext/>
              <w:jc w:val="center"/>
            </w:pPr>
            <w:r w:rsidRPr="000631A9">
              <w:t xml:space="preserve">CC3 </w:t>
            </w:r>
          </w:p>
        </w:tc>
        <w:tc>
          <w:tcPr>
            <w:tcW w:w="1133" w:type="dxa"/>
            <w:gridSpan w:val="2"/>
            <w:shd w:val="clear" w:color="auto" w:fill="DBE5F1" w:themeFill="accent1" w:themeFillTint="33"/>
          </w:tcPr>
          <w:p w:rsidR="00190296" w:rsidRPr="000631A9" w:rsidRDefault="00190296" w:rsidP="00476CF5">
            <w:pPr>
              <w:keepNext/>
              <w:jc w:val="center"/>
            </w:pPr>
            <w:r w:rsidRPr="000631A9">
              <w:t>CC4</w:t>
            </w:r>
          </w:p>
        </w:tc>
      </w:tr>
      <w:tr w:rsidR="000631A9" w:rsidRPr="000631A9" w:rsidTr="00476CF5">
        <w:trPr>
          <w:jc w:val="center"/>
        </w:trPr>
        <w:tc>
          <w:tcPr>
            <w:tcW w:w="2235" w:type="dxa"/>
            <w:shd w:val="clear" w:color="auto" w:fill="B8CCE4" w:themeFill="accent1" w:themeFillTint="66"/>
          </w:tcPr>
          <w:p w:rsidR="00190296" w:rsidRPr="000631A9" w:rsidRDefault="00190296" w:rsidP="00476CF5">
            <w:pPr>
              <w:keepNext/>
            </w:pPr>
            <w:r w:rsidRPr="000631A9">
              <w:t>SNR</w:t>
            </w:r>
          </w:p>
        </w:tc>
        <w:tc>
          <w:tcPr>
            <w:tcW w:w="1295" w:type="dxa"/>
            <w:gridSpan w:val="2"/>
            <w:shd w:val="clear" w:color="auto" w:fill="B8CCE4" w:themeFill="accent1" w:themeFillTint="66"/>
          </w:tcPr>
          <w:p w:rsidR="00190296" w:rsidRPr="000631A9" w:rsidRDefault="00190296" w:rsidP="00476CF5">
            <w:pPr>
              <w:keepNext/>
              <w:jc w:val="center"/>
            </w:pPr>
            <w:r w:rsidRPr="000631A9">
              <w:t>-2.1</w:t>
            </w:r>
          </w:p>
        </w:tc>
        <w:tc>
          <w:tcPr>
            <w:tcW w:w="1318" w:type="dxa"/>
            <w:gridSpan w:val="2"/>
            <w:shd w:val="clear" w:color="auto" w:fill="B8CCE4" w:themeFill="accent1" w:themeFillTint="66"/>
          </w:tcPr>
          <w:p w:rsidR="00190296" w:rsidRPr="000631A9" w:rsidRDefault="00190296" w:rsidP="00190296">
            <w:pPr>
              <w:keepNext/>
              <w:jc w:val="center"/>
            </w:pPr>
            <w:r w:rsidRPr="000631A9">
              <w:t>-8.0</w:t>
            </w:r>
          </w:p>
        </w:tc>
        <w:tc>
          <w:tcPr>
            <w:tcW w:w="1295" w:type="dxa"/>
            <w:gridSpan w:val="2"/>
            <w:shd w:val="clear" w:color="auto" w:fill="B8CCE4" w:themeFill="accent1" w:themeFillTint="66"/>
          </w:tcPr>
          <w:p w:rsidR="00190296" w:rsidRPr="000631A9" w:rsidRDefault="00190296" w:rsidP="00190296">
            <w:pPr>
              <w:keepNext/>
              <w:jc w:val="center"/>
            </w:pPr>
            <w:r w:rsidRPr="000631A9">
              <w:t>-10.4</w:t>
            </w:r>
          </w:p>
        </w:tc>
        <w:tc>
          <w:tcPr>
            <w:tcW w:w="1133" w:type="dxa"/>
            <w:gridSpan w:val="2"/>
            <w:shd w:val="clear" w:color="auto" w:fill="B8CCE4" w:themeFill="accent1" w:themeFillTint="66"/>
          </w:tcPr>
          <w:p w:rsidR="00190296" w:rsidRPr="000631A9" w:rsidRDefault="00190296" w:rsidP="00476CF5">
            <w:pPr>
              <w:keepNext/>
              <w:jc w:val="center"/>
            </w:pPr>
            <w:r w:rsidRPr="000631A9">
              <w:t>-13.9</w:t>
            </w:r>
          </w:p>
        </w:tc>
      </w:tr>
      <w:tr w:rsidR="000631A9" w:rsidRPr="000631A9" w:rsidTr="00476CF5">
        <w:trPr>
          <w:jc w:val="center"/>
        </w:trPr>
        <w:tc>
          <w:tcPr>
            <w:tcW w:w="2235" w:type="dxa"/>
            <w:shd w:val="clear" w:color="auto" w:fill="95B3D7" w:themeFill="accent1" w:themeFillTint="99"/>
          </w:tcPr>
          <w:p w:rsidR="00190296" w:rsidRPr="000631A9" w:rsidRDefault="00190296" w:rsidP="00476CF5">
            <w:pPr>
              <w:keepNext/>
            </w:pPr>
            <w:r w:rsidRPr="000631A9">
              <w:t>Logical channel</w:t>
            </w:r>
          </w:p>
        </w:tc>
        <w:tc>
          <w:tcPr>
            <w:tcW w:w="5041" w:type="dxa"/>
            <w:gridSpan w:val="8"/>
            <w:shd w:val="clear" w:color="auto" w:fill="95B3D7" w:themeFill="accent1" w:themeFillTint="99"/>
          </w:tcPr>
          <w:p w:rsidR="00190296" w:rsidRPr="000631A9" w:rsidRDefault="00190296" w:rsidP="00476CF5">
            <w:pPr>
              <w:keepNext/>
              <w:jc w:val="center"/>
            </w:pPr>
            <w:r w:rsidRPr="000631A9">
              <w:t>BLER | # blind transmissions</w:t>
            </w:r>
          </w:p>
        </w:tc>
      </w:tr>
      <w:tr w:rsidR="00190296" w:rsidRPr="000631A9" w:rsidTr="00476CF5">
        <w:trPr>
          <w:jc w:val="center"/>
        </w:trPr>
        <w:tc>
          <w:tcPr>
            <w:tcW w:w="2235" w:type="dxa"/>
          </w:tcPr>
          <w:p w:rsidR="00190296" w:rsidRPr="000631A9" w:rsidRDefault="00190296" w:rsidP="00476CF5">
            <w:pPr>
              <w:keepNext/>
            </w:pPr>
            <w:r w:rsidRPr="000631A9">
              <w:t>EC-CCCH/U</w:t>
            </w:r>
          </w:p>
        </w:tc>
        <w:tc>
          <w:tcPr>
            <w:tcW w:w="647" w:type="dxa"/>
            <w:tcBorders>
              <w:right w:val="single" w:sz="4" w:space="0" w:color="auto"/>
            </w:tcBorders>
          </w:tcPr>
          <w:p w:rsidR="00190296" w:rsidRPr="000631A9" w:rsidRDefault="00190296" w:rsidP="00476CF5">
            <w:pPr>
              <w:keepNext/>
              <w:jc w:val="center"/>
            </w:pPr>
            <w:r w:rsidRPr="000631A9">
              <w:t>20%</w:t>
            </w:r>
          </w:p>
        </w:tc>
        <w:tc>
          <w:tcPr>
            <w:tcW w:w="648" w:type="dxa"/>
            <w:tcBorders>
              <w:left w:val="single" w:sz="4" w:space="0" w:color="auto"/>
              <w:right w:val="double" w:sz="4" w:space="0" w:color="auto"/>
            </w:tcBorders>
          </w:tcPr>
          <w:p w:rsidR="00190296" w:rsidRPr="000631A9" w:rsidRDefault="00190296" w:rsidP="00476CF5">
            <w:pPr>
              <w:keepNext/>
              <w:jc w:val="center"/>
            </w:pPr>
            <w:r w:rsidRPr="000631A9">
              <w:t>-</w:t>
            </w:r>
          </w:p>
        </w:tc>
        <w:tc>
          <w:tcPr>
            <w:tcW w:w="659" w:type="dxa"/>
            <w:tcBorders>
              <w:left w:val="double" w:sz="4" w:space="0" w:color="auto"/>
              <w:bottom w:val="single" w:sz="4" w:space="0" w:color="auto"/>
              <w:right w:val="single" w:sz="4" w:space="0" w:color="auto"/>
            </w:tcBorders>
          </w:tcPr>
          <w:p w:rsidR="00190296" w:rsidRPr="000631A9" w:rsidRDefault="00190296" w:rsidP="00476CF5">
            <w:pPr>
              <w:keepNext/>
              <w:jc w:val="center"/>
            </w:pPr>
            <w:r w:rsidRPr="000631A9">
              <w:t>20%</w:t>
            </w:r>
          </w:p>
        </w:tc>
        <w:tc>
          <w:tcPr>
            <w:tcW w:w="659" w:type="dxa"/>
            <w:tcBorders>
              <w:left w:val="single" w:sz="4" w:space="0" w:color="auto"/>
              <w:bottom w:val="single" w:sz="4" w:space="0" w:color="auto"/>
              <w:right w:val="double" w:sz="4" w:space="0" w:color="auto"/>
            </w:tcBorders>
          </w:tcPr>
          <w:p w:rsidR="00190296" w:rsidRPr="000631A9" w:rsidRDefault="00190296" w:rsidP="00476CF5">
            <w:pPr>
              <w:keepNext/>
              <w:jc w:val="center"/>
            </w:pPr>
            <w:r w:rsidRPr="000631A9">
              <w:t>4</w:t>
            </w:r>
          </w:p>
        </w:tc>
        <w:tc>
          <w:tcPr>
            <w:tcW w:w="647" w:type="dxa"/>
            <w:tcBorders>
              <w:left w:val="double" w:sz="4" w:space="0" w:color="auto"/>
              <w:right w:val="single" w:sz="4" w:space="0" w:color="auto"/>
            </w:tcBorders>
          </w:tcPr>
          <w:p w:rsidR="00190296" w:rsidRPr="000631A9" w:rsidRDefault="00190296" w:rsidP="00476CF5">
            <w:pPr>
              <w:keepNext/>
              <w:jc w:val="center"/>
            </w:pPr>
            <w:r w:rsidRPr="000631A9">
              <w:t>20%</w:t>
            </w:r>
          </w:p>
        </w:tc>
        <w:tc>
          <w:tcPr>
            <w:tcW w:w="648" w:type="dxa"/>
            <w:tcBorders>
              <w:left w:val="single" w:sz="4" w:space="0" w:color="auto"/>
              <w:right w:val="double" w:sz="4" w:space="0" w:color="auto"/>
            </w:tcBorders>
          </w:tcPr>
          <w:p w:rsidR="00190296" w:rsidRPr="000631A9" w:rsidRDefault="00813B60" w:rsidP="00476CF5">
            <w:pPr>
              <w:keepNext/>
              <w:jc w:val="center"/>
            </w:pPr>
            <w:r w:rsidRPr="000631A9">
              <w:t>8</w:t>
            </w:r>
          </w:p>
        </w:tc>
        <w:tc>
          <w:tcPr>
            <w:tcW w:w="566" w:type="dxa"/>
            <w:tcBorders>
              <w:left w:val="double" w:sz="4" w:space="0" w:color="auto"/>
              <w:right w:val="single" w:sz="4" w:space="0" w:color="auto"/>
            </w:tcBorders>
          </w:tcPr>
          <w:p w:rsidR="00190296" w:rsidRPr="000631A9" w:rsidRDefault="00443147" w:rsidP="00476CF5">
            <w:pPr>
              <w:keepNext/>
              <w:jc w:val="center"/>
            </w:pPr>
            <w:r w:rsidRPr="000631A9">
              <w:t>15%</w:t>
            </w:r>
          </w:p>
        </w:tc>
        <w:tc>
          <w:tcPr>
            <w:tcW w:w="567" w:type="dxa"/>
            <w:tcBorders>
              <w:left w:val="single" w:sz="4" w:space="0" w:color="auto"/>
              <w:right w:val="double" w:sz="4" w:space="0" w:color="auto"/>
            </w:tcBorders>
          </w:tcPr>
          <w:p w:rsidR="00190296" w:rsidRPr="000631A9" w:rsidRDefault="00813B60" w:rsidP="00476CF5">
            <w:pPr>
              <w:keepNext/>
              <w:jc w:val="center"/>
            </w:pPr>
            <w:r w:rsidRPr="000631A9">
              <w:t>32</w:t>
            </w:r>
          </w:p>
        </w:tc>
      </w:tr>
    </w:tbl>
    <w:p w:rsidR="00190296" w:rsidRPr="000631A9" w:rsidRDefault="00190296" w:rsidP="00190296"/>
    <w:p w:rsidR="005A0E8D" w:rsidRPr="000631A9" w:rsidRDefault="00726BAA" w:rsidP="00190296">
      <w:r w:rsidRPr="000631A9">
        <w:fldChar w:fldCharType="begin"/>
      </w:r>
      <w:r w:rsidRPr="000631A9">
        <w:instrText xml:space="preserve"> REF _Ref437611563 \h </w:instrText>
      </w:r>
      <w:r w:rsidRPr="000631A9">
        <w:fldChar w:fldCharType="separate"/>
      </w:r>
      <w:r w:rsidR="00E138CB" w:rsidRPr="000631A9">
        <w:rPr>
          <w:lang w:val="en-GB"/>
        </w:rPr>
        <w:t xml:space="preserve">Figure </w:t>
      </w:r>
      <w:r w:rsidR="00E138CB">
        <w:rPr>
          <w:noProof/>
          <w:lang w:val="en-GB"/>
        </w:rPr>
        <w:t>2</w:t>
      </w:r>
      <w:r w:rsidRPr="000631A9">
        <w:fldChar w:fldCharType="end"/>
      </w:r>
      <w:r w:rsidRPr="000631A9">
        <w:t xml:space="preserve"> would still be valid in this case, with the main difference that instead of 16 and 48 repetitions used for CC3 and CC4</w:t>
      </w:r>
      <w:r w:rsidR="001B4FA4" w:rsidRPr="000631A9">
        <w:t xml:space="preserve"> respec</w:t>
      </w:r>
      <w:r w:rsidR="00C9267C" w:rsidRPr="000631A9">
        <w:t>t</w:t>
      </w:r>
      <w:r w:rsidR="001B4FA4" w:rsidRPr="000631A9">
        <w:t>ively</w:t>
      </w:r>
      <w:r w:rsidRPr="000631A9">
        <w:t xml:space="preserve">, 8 and </w:t>
      </w:r>
      <w:r w:rsidR="002551D7" w:rsidRPr="000631A9">
        <w:t>32</w:t>
      </w:r>
      <w:r w:rsidRPr="000631A9">
        <w:t xml:space="preserve"> repetitions can be used instead.</w:t>
      </w:r>
    </w:p>
    <w:p w:rsidR="002551D7" w:rsidRPr="000631A9" w:rsidRDefault="002551D7" w:rsidP="00190296">
      <w:r w:rsidRPr="000631A9">
        <w:lastRenderedPageBreak/>
        <w:t xml:space="preserve">Alternatively the gain from increased coherency can be used to lower the EC-RACH BLER performance in the extreme coverage situation. This has shown to be beneficial in system simulations where there can be a certain level of interference limitation in the extreme coupling loss scenario, see </w:t>
      </w:r>
      <w:r w:rsidRPr="000631A9">
        <w:fldChar w:fldCharType="begin"/>
      </w:r>
      <w:r w:rsidRPr="000631A9">
        <w:instrText xml:space="preserve"> REF _Ref439946342 \r \h </w:instrText>
      </w:r>
      <w:r w:rsidRPr="000631A9">
        <w:fldChar w:fldCharType="separate"/>
      </w:r>
      <w:r w:rsidR="00E138CB">
        <w:t>[5]</w:t>
      </w:r>
      <w:r w:rsidRPr="000631A9">
        <w:fldChar w:fldCharType="end"/>
      </w:r>
      <w:r w:rsidRPr="000631A9">
        <w:t xml:space="preserve">. In this case, if for example 16 and 48 repetitions are used respectively the resulting BLER is shown as in </w:t>
      </w:r>
      <w:r w:rsidRPr="000631A9">
        <w:fldChar w:fldCharType="begin"/>
      </w:r>
      <w:r w:rsidRPr="000631A9">
        <w:instrText xml:space="preserve"> REF _Ref439946379 \h </w:instrText>
      </w:r>
      <w:r w:rsidRPr="000631A9">
        <w:fldChar w:fldCharType="separate"/>
      </w:r>
      <w:r w:rsidR="00E138CB" w:rsidRPr="000631A9">
        <w:t xml:space="preserve">Table </w:t>
      </w:r>
      <w:r w:rsidR="00E138CB">
        <w:rPr>
          <w:noProof/>
        </w:rPr>
        <w:t>6</w:t>
      </w:r>
      <w:r w:rsidRPr="000631A9">
        <w:fldChar w:fldCharType="end"/>
      </w:r>
      <w:r w:rsidRPr="000631A9">
        <w:t>.</w:t>
      </w:r>
    </w:p>
    <w:p w:rsidR="002551D7" w:rsidRPr="000631A9" w:rsidRDefault="002551D7" w:rsidP="002551D7">
      <w:pPr>
        <w:pStyle w:val="Caption"/>
        <w:rPr>
          <w:lang w:val="en-GB"/>
        </w:rPr>
      </w:pPr>
      <w:bookmarkStart w:id="7" w:name="_Ref439946379"/>
      <w:r w:rsidRPr="000631A9">
        <w:t xml:space="preserve">Table </w:t>
      </w:r>
      <w:r w:rsidR="0093335B">
        <w:fldChar w:fldCharType="begin"/>
      </w:r>
      <w:r w:rsidR="0093335B">
        <w:instrText xml:space="preserve"> SEQ Table \* ARABIC </w:instrText>
      </w:r>
      <w:r w:rsidR="0093335B">
        <w:fldChar w:fldCharType="separate"/>
      </w:r>
      <w:r w:rsidR="00E138CB">
        <w:rPr>
          <w:noProof/>
        </w:rPr>
        <w:t>6</w:t>
      </w:r>
      <w:r w:rsidR="0093335B">
        <w:rPr>
          <w:noProof/>
        </w:rPr>
        <w:fldChar w:fldCharType="end"/>
      </w:r>
      <w:bookmarkEnd w:id="7"/>
      <w:r w:rsidRPr="000631A9">
        <w:t xml:space="preserve">: </w:t>
      </w:r>
      <w:r w:rsidRPr="000631A9">
        <w:rPr>
          <w:lang w:val="en-GB"/>
        </w:rPr>
        <w:t>Summary of uplink coverage class alignment with 2 TS RACH mapping, [1,4,16,48] repetitions</w:t>
      </w:r>
    </w:p>
    <w:tbl>
      <w:tblPr>
        <w:tblStyle w:val="TableGrid"/>
        <w:tblW w:w="0" w:type="auto"/>
        <w:jc w:val="center"/>
        <w:tblLook w:val="04A0" w:firstRow="1" w:lastRow="0" w:firstColumn="1" w:lastColumn="0" w:noHBand="0" w:noVBand="1"/>
      </w:tblPr>
      <w:tblGrid>
        <w:gridCol w:w="2235"/>
        <w:gridCol w:w="647"/>
        <w:gridCol w:w="648"/>
        <w:gridCol w:w="659"/>
        <w:gridCol w:w="659"/>
        <w:gridCol w:w="647"/>
        <w:gridCol w:w="648"/>
        <w:gridCol w:w="566"/>
        <w:gridCol w:w="567"/>
      </w:tblGrid>
      <w:tr w:rsidR="000631A9" w:rsidRPr="000631A9" w:rsidTr="001C2409">
        <w:trPr>
          <w:jc w:val="center"/>
        </w:trPr>
        <w:tc>
          <w:tcPr>
            <w:tcW w:w="2235" w:type="dxa"/>
            <w:shd w:val="clear" w:color="auto" w:fill="DBE5F1" w:themeFill="accent1" w:themeFillTint="33"/>
          </w:tcPr>
          <w:p w:rsidR="005F6170" w:rsidRPr="000631A9" w:rsidRDefault="005F6170" w:rsidP="001C2409">
            <w:pPr>
              <w:keepNext/>
              <w:rPr>
                <w:lang w:val="en-GB"/>
              </w:rPr>
            </w:pPr>
          </w:p>
        </w:tc>
        <w:tc>
          <w:tcPr>
            <w:tcW w:w="1295" w:type="dxa"/>
            <w:gridSpan w:val="2"/>
            <w:shd w:val="clear" w:color="auto" w:fill="DBE5F1" w:themeFill="accent1" w:themeFillTint="33"/>
          </w:tcPr>
          <w:p w:rsidR="005F6170" w:rsidRPr="000631A9" w:rsidRDefault="005F6170" w:rsidP="001C2409">
            <w:pPr>
              <w:keepNext/>
              <w:jc w:val="center"/>
            </w:pPr>
            <w:r w:rsidRPr="000631A9">
              <w:t xml:space="preserve">CC1 </w:t>
            </w:r>
          </w:p>
        </w:tc>
        <w:tc>
          <w:tcPr>
            <w:tcW w:w="1318" w:type="dxa"/>
            <w:gridSpan w:val="2"/>
            <w:shd w:val="clear" w:color="auto" w:fill="DBE5F1" w:themeFill="accent1" w:themeFillTint="33"/>
          </w:tcPr>
          <w:p w:rsidR="005F6170" w:rsidRPr="000631A9" w:rsidRDefault="005F6170" w:rsidP="001C2409">
            <w:pPr>
              <w:keepNext/>
              <w:jc w:val="center"/>
            </w:pPr>
            <w:r w:rsidRPr="000631A9">
              <w:t xml:space="preserve">CC2 </w:t>
            </w:r>
          </w:p>
        </w:tc>
        <w:tc>
          <w:tcPr>
            <w:tcW w:w="1295" w:type="dxa"/>
            <w:gridSpan w:val="2"/>
            <w:shd w:val="clear" w:color="auto" w:fill="DBE5F1" w:themeFill="accent1" w:themeFillTint="33"/>
          </w:tcPr>
          <w:p w:rsidR="005F6170" w:rsidRPr="000631A9" w:rsidRDefault="005F6170" w:rsidP="001C2409">
            <w:pPr>
              <w:keepNext/>
              <w:jc w:val="center"/>
            </w:pPr>
            <w:r w:rsidRPr="000631A9">
              <w:t xml:space="preserve">CC3 </w:t>
            </w:r>
          </w:p>
        </w:tc>
        <w:tc>
          <w:tcPr>
            <w:tcW w:w="1133" w:type="dxa"/>
            <w:gridSpan w:val="2"/>
            <w:shd w:val="clear" w:color="auto" w:fill="DBE5F1" w:themeFill="accent1" w:themeFillTint="33"/>
          </w:tcPr>
          <w:p w:rsidR="005F6170" w:rsidRPr="000631A9" w:rsidRDefault="005F6170" w:rsidP="001C2409">
            <w:pPr>
              <w:keepNext/>
              <w:jc w:val="center"/>
            </w:pPr>
            <w:r w:rsidRPr="000631A9">
              <w:t>CC4</w:t>
            </w:r>
          </w:p>
        </w:tc>
      </w:tr>
      <w:tr w:rsidR="000631A9" w:rsidRPr="000631A9" w:rsidTr="001C2409">
        <w:trPr>
          <w:jc w:val="center"/>
        </w:trPr>
        <w:tc>
          <w:tcPr>
            <w:tcW w:w="2235" w:type="dxa"/>
            <w:shd w:val="clear" w:color="auto" w:fill="B8CCE4" w:themeFill="accent1" w:themeFillTint="66"/>
          </w:tcPr>
          <w:p w:rsidR="005F6170" w:rsidRPr="000631A9" w:rsidRDefault="005F6170" w:rsidP="001C2409">
            <w:pPr>
              <w:keepNext/>
            </w:pPr>
            <w:r w:rsidRPr="000631A9">
              <w:t>SNR</w:t>
            </w:r>
          </w:p>
        </w:tc>
        <w:tc>
          <w:tcPr>
            <w:tcW w:w="1295" w:type="dxa"/>
            <w:gridSpan w:val="2"/>
            <w:shd w:val="clear" w:color="auto" w:fill="B8CCE4" w:themeFill="accent1" w:themeFillTint="66"/>
          </w:tcPr>
          <w:p w:rsidR="005F6170" w:rsidRPr="000631A9" w:rsidRDefault="005F6170" w:rsidP="001C2409">
            <w:pPr>
              <w:keepNext/>
              <w:jc w:val="center"/>
            </w:pPr>
            <w:r w:rsidRPr="000631A9">
              <w:t>-2.1</w:t>
            </w:r>
          </w:p>
        </w:tc>
        <w:tc>
          <w:tcPr>
            <w:tcW w:w="1318" w:type="dxa"/>
            <w:gridSpan w:val="2"/>
            <w:shd w:val="clear" w:color="auto" w:fill="B8CCE4" w:themeFill="accent1" w:themeFillTint="66"/>
          </w:tcPr>
          <w:p w:rsidR="005F6170" w:rsidRPr="000631A9" w:rsidRDefault="005F6170" w:rsidP="001C2409">
            <w:pPr>
              <w:keepNext/>
              <w:jc w:val="center"/>
            </w:pPr>
            <w:r w:rsidRPr="000631A9">
              <w:t>-8.0</w:t>
            </w:r>
          </w:p>
        </w:tc>
        <w:tc>
          <w:tcPr>
            <w:tcW w:w="1295" w:type="dxa"/>
            <w:gridSpan w:val="2"/>
            <w:shd w:val="clear" w:color="auto" w:fill="B8CCE4" w:themeFill="accent1" w:themeFillTint="66"/>
          </w:tcPr>
          <w:p w:rsidR="005F6170" w:rsidRPr="000631A9" w:rsidRDefault="005F6170" w:rsidP="00D20637">
            <w:pPr>
              <w:keepNext/>
              <w:jc w:val="center"/>
            </w:pPr>
            <w:r w:rsidRPr="000631A9">
              <w:t>-</w:t>
            </w:r>
            <w:r w:rsidR="00D20637" w:rsidRPr="000631A9">
              <w:t>11.2</w:t>
            </w:r>
          </w:p>
        </w:tc>
        <w:tc>
          <w:tcPr>
            <w:tcW w:w="1133" w:type="dxa"/>
            <w:gridSpan w:val="2"/>
            <w:shd w:val="clear" w:color="auto" w:fill="B8CCE4" w:themeFill="accent1" w:themeFillTint="66"/>
          </w:tcPr>
          <w:p w:rsidR="005F6170" w:rsidRPr="000631A9" w:rsidRDefault="005F6170" w:rsidP="001C2409">
            <w:pPr>
              <w:keepNext/>
              <w:jc w:val="center"/>
            </w:pPr>
            <w:r w:rsidRPr="000631A9">
              <w:t>-13.9</w:t>
            </w:r>
          </w:p>
        </w:tc>
      </w:tr>
      <w:tr w:rsidR="000631A9" w:rsidRPr="000631A9" w:rsidTr="001C2409">
        <w:trPr>
          <w:jc w:val="center"/>
        </w:trPr>
        <w:tc>
          <w:tcPr>
            <w:tcW w:w="2235" w:type="dxa"/>
            <w:shd w:val="clear" w:color="auto" w:fill="95B3D7" w:themeFill="accent1" w:themeFillTint="99"/>
          </w:tcPr>
          <w:p w:rsidR="005F6170" w:rsidRPr="000631A9" w:rsidRDefault="005F6170" w:rsidP="001C2409">
            <w:pPr>
              <w:keepNext/>
            </w:pPr>
            <w:r w:rsidRPr="000631A9">
              <w:t>Logical channel</w:t>
            </w:r>
          </w:p>
        </w:tc>
        <w:tc>
          <w:tcPr>
            <w:tcW w:w="5041" w:type="dxa"/>
            <w:gridSpan w:val="8"/>
            <w:shd w:val="clear" w:color="auto" w:fill="95B3D7" w:themeFill="accent1" w:themeFillTint="99"/>
          </w:tcPr>
          <w:p w:rsidR="005F6170" w:rsidRPr="000631A9" w:rsidRDefault="005F6170" w:rsidP="001C2409">
            <w:pPr>
              <w:keepNext/>
              <w:jc w:val="center"/>
            </w:pPr>
            <w:r w:rsidRPr="000631A9">
              <w:t>BLER | # blind transmissions</w:t>
            </w:r>
          </w:p>
        </w:tc>
      </w:tr>
      <w:tr w:rsidR="005F6170" w:rsidRPr="000631A9" w:rsidTr="001C2409">
        <w:trPr>
          <w:jc w:val="center"/>
        </w:trPr>
        <w:tc>
          <w:tcPr>
            <w:tcW w:w="2235" w:type="dxa"/>
          </w:tcPr>
          <w:p w:rsidR="005F6170" w:rsidRPr="000631A9" w:rsidRDefault="005F6170" w:rsidP="001C2409">
            <w:pPr>
              <w:keepNext/>
            </w:pPr>
            <w:r w:rsidRPr="000631A9">
              <w:t>EC-CCCH/U</w:t>
            </w:r>
          </w:p>
        </w:tc>
        <w:tc>
          <w:tcPr>
            <w:tcW w:w="647" w:type="dxa"/>
            <w:tcBorders>
              <w:right w:val="single" w:sz="4" w:space="0" w:color="auto"/>
            </w:tcBorders>
          </w:tcPr>
          <w:p w:rsidR="005F6170" w:rsidRPr="000631A9" w:rsidRDefault="005F6170" w:rsidP="001C2409">
            <w:pPr>
              <w:keepNext/>
              <w:jc w:val="center"/>
            </w:pPr>
            <w:r w:rsidRPr="000631A9">
              <w:t>20%</w:t>
            </w:r>
          </w:p>
        </w:tc>
        <w:tc>
          <w:tcPr>
            <w:tcW w:w="648" w:type="dxa"/>
            <w:tcBorders>
              <w:left w:val="single" w:sz="4" w:space="0" w:color="auto"/>
              <w:right w:val="double" w:sz="4" w:space="0" w:color="auto"/>
            </w:tcBorders>
          </w:tcPr>
          <w:p w:rsidR="005F6170" w:rsidRPr="000631A9" w:rsidRDefault="005F6170" w:rsidP="001C2409">
            <w:pPr>
              <w:keepNext/>
              <w:jc w:val="center"/>
            </w:pPr>
            <w:r w:rsidRPr="000631A9">
              <w:t>-</w:t>
            </w:r>
          </w:p>
        </w:tc>
        <w:tc>
          <w:tcPr>
            <w:tcW w:w="659" w:type="dxa"/>
            <w:tcBorders>
              <w:left w:val="double" w:sz="4" w:space="0" w:color="auto"/>
              <w:bottom w:val="single" w:sz="4" w:space="0" w:color="auto"/>
              <w:right w:val="single" w:sz="4" w:space="0" w:color="auto"/>
            </w:tcBorders>
          </w:tcPr>
          <w:p w:rsidR="005F6170" w:rsidRPr="000631A9" w:rsidRDefault="005F6170" w:rsidP="001C2409">
            <w:pPr>
              <w:keepNext/>
              <w:jc w:val="center"/>
            </w:pPr>
            <w:r w:rsidRPr="000631A9">
              <w:t>20%</w:t>
            </w:r>
          </w:p>
        </w:tc>
        <w:tc>
          <w:tcPr>
            <w:tcW w:w="659" w:type="dxa"/>
            <w:tcBorders>
              <w:left w:val="single" w:sz="4" w:space="0" w:color="auto"/>
              <w:bottom w:val="single" w:sz="4" w:space="0" w:color="auto"/>
              <w:right w:val="double" w:sz="4" w:space="0" w:color="auto"/>
            </w:tcBorders>
          </w:tcPr>
          <w:p w:rsidR="005F6170" w:rsidRPr="000631A9" w:rsidRDefault="005F6170" w:rsidP="001C2409">
            <w:pPr>
              <w:keepNext/>
              <w:jc w:val="center"/>
            </w:pPr>
            <w:r w:rsidRPr="000631A9">
              <w:t>4</w:t>
            </w:r>
          </w:p>
        </w:tc>
        <w:tc>
          <w:tcPr>
            <w:tcW w:w="647" w:type="dxa"/>
            <w:tcBorders>
              <w:left w:val="double" w:sz="4" w:space="0" w:color="auto"/>
              <w:right w:val="single" w:sz="4" w:space="0" w:color="auto"/>
            </w:tcBorders>
          </w:tcPr>
          <w:p w:rsidR="005F6170" w:rsidRPr="000631A9" w:rsidRDefault="00436343" w:rsidP="001C2409">
            <w:pPr>
              <w:keepNext/>
              <w:jc w:val="center"/>
            </w:pPr>
            <w:r w:rsidRPr="000631A9">
              <w:t>13</w:t>
            </w:r>
            <w:r w:rsidR="005F6170" w:rsidRPr="000631A9">
              <w:t>%</w:t>
            </w:r>
          </w:p>
        </w:tc>
        <w:tc>
          <w:tcPr>
            <w:tcW w:w="648" w:type="dxa"/>
            <w:tcBorders>
              <w:left w:val="single" w:sz="4" w:space="0" w:color="auto"/>
              <w:right w:val="double" w:sz="4" w:space="0" w:color="auto"/>
            </w:tcBorders>
          </w:tcPr>
          <w:p w:rsidR="005F6170" w:rsidRPr="000631A9" w:rsidRDefault="005A0069" w:rsidP="001C2409">
            <w:pPr>
              <w:keepNext/>
              <w:jc w:val="center"/>
            </w:pPr>
            <w:r w:rsidRPr="000631A9">
              <w:t>16</w:t>
            </w:r>
          </w:p>
        </w:tc>
        <w:tc>
          <w:tcPr>
            <w:tcW w:w="566" w:type="dxa"/>
            <w:tcBorders>
              <w:left w:val="double" w:sz="4" w:space="0" w:color="auto"/>
              <w:right w:val="single" w:sz="4" w:space="0" w:color="auto"/>
            </w:tcBorders>
          </w:tcPr>
          <w:p w:rsidR="005F6170" w:rsidRPr="000631A9" w:rsidRDefault="0034663F" w:rsidP="001C2409">
            <w:pPr>
              <w:keepNext/>
              <w:jc w:val="center"/>
            </w:pPr>
            <w:r w:rsidRPr="000631A9">
              <w:t>9</w:t>
            </w:r>
            <w:r w:rsidR="005F6170" w:rsidRPr="000631A9">
              <w:t>%</w:t>
            </w:r>
          </w:p>
        </w:tc>
        <w:tc>
          <w:tcPr>
            <w:tcW w:w="567" w:type="dxa"/>
            <w:tcBorders>
              <w:left w:val="single" w:sz="4" w:space="0" w:color="auto"/>
              <w:right w:val="double" w:sz="4" w:space="0" w:color="auto"/>
            </w:tcBorders>
          </w:tcPr>
          <w:p w:rsidR="005F6170" w:rsidRPr="000631A9" w:rsidRDefault="005A0069" w:rsidP="001C2409">
            <w:pPr>
              <w:keepNext/>
              <w:jc w:val="center"/>
            </w:pPr>
            <w:r w:rsidRPr="000631A9">
              <w:t>48</w:t>
            </w:r>
          </w:p>
        </w:tc>
      </w:tr>
    </w:tbl>
    <w:p w:rsidR="002551D7" w:rsidRPr="000631A9" w:rsidRDefault="002551D7" w:rsidP="002551D7">
      <w:pPr>
        <w:rPr>
          <w:lang w:val="en-GB"/>
        </w:rPr>
      </w:pPr>
    </w:p>
    <w:p w:rsidR="000B709F" w:rsidRPr="000631A9" w:rsidRDefault="00071C58" w:rsidP="000B709F">
      <w:pPr>
        <w:pStyle w:val="Heading1"/>
        <w:rPr>
          <w:lang w:val="en-GB"/>
        </w:rPr>
      </w:pPr>
      <w:r w:rsidRPr="000631A9">
        <w:rPr>
          <w:lang w:val="en-GB"/>
        </w:rPr>
        <w:t>Mapping of logical channels onto physical channels</w:t>
      </w:r>
    </w:p>
    <w:p w:rsidR="00071C58" w:rsidRPr="000631A9" w:rsidRDefault="00C61A82" w:rsidP="00071C58">
      <w:pPr>
        <w:rPr>
          <w:lang w:val="en-GB"/>
        </w:rPr>
      </w:pPr>
      <w:r w:rsidRPr="000631A9">
        <w:rPr>
          <w:lang w:val="en-GB"/>
        </w:rPr>
        <w:t>The resulting coverage classes and their mapping is shown in the figures below.</w:t>
      </w:r>
    </w:p>
    <w:p w:rsidR="004905C7" w:rsidRPr="000631A9" w:rsidRDefault="004905C7" w:rsidP="00071C58">
      <w:pPr>
        <w:rPr>
          <w:lang w:val="en-GB"/>
        </w:rPr>
      </w:pPr>
      <w:r w:rsidRPr="000631A9">
        <w:rPr>
          <w:lang w:val="en-GB"/>
        </w:rPr>
        <w:t>One block in each CC is highlighted to see the basic block mapping. Remaining blocks are numbered in the cells.</w:t>
      </w:r>
    </w:p>
    <w:p w:rsidR="00C61A82" w:rsidRPr="000631A9" w:rsidRDefault="004905C7" w:rsidP="004905C7">
      <w:pPr>
        <w:pStyle w:val="Heading2"/>
        <w:rPr>
          <w:lang w:val="en-GB"/>
        </w:rPr>
      </w:pPr>
      <w:r w:rsidRPr="000631A9">
        <w:rPr>
          <w:lang w:val="en-GB"/>
        </w:rPr>
        <w:t>DL</w:t>
      </w:r>
    </w:p>
    <w:p w:rsidR="00E63BA3" w:rsidRPr="000631A9" w:rsidRDefault="00E63BA3" w:rsidP="00F67F30">
      <w:pPr>
        <w:pStyle w:val="BodyText"/>
        <w:rPr>
          <w:lang w:val="en-GB"/>
        </w:rPr>
      </w:pPr>
      <w:r w:rsidRPr="000631A9">
        <w:object w:dxaOrig="14745" w:dyaOrig="8791">
          <v:shape id="_x0000_i1027" type="#_x0000_t75" style="width:412.6pt;height:246.05pt" o:ole="">
            <v:imagedata r:id="rId13" o:title=""/>
          </v:shape>
          <o:OLEObject Type="Embed" ProgID="Visio.Drawing.15" ShapeID="_x0000_i1027" DrawAspect="Content" ObjectID="_1516554346" r:id="rId14"/>
        </w:object>
      </w:r>
    </w:p>
    <w:p w:rsidR="00AD6192" w:rsidRPr="000631A9" w:rsidRDefault="00AD6192" w:rsidP="00F67F30">
      <w:pPr>
        <w:pStyle w:val="Caption"/>
      </w:pPr>
      <w:bookmarkStart w:id="8" w:name="_Ref437618221"/>
      <w:r w:rsidRPr="000631A9">
        <w:t xml:space="preserve">Figure </w:t>
      </w:r>
      <w:r w:rsidR="0093335B">
        <w:fldChar w:fldCharType="begin"/>
      </w:r>
      <w:r w:rsidR="0093335B">
        <w:instrText xml:space="preserve"> SEQ Figure \* ARABIC </w:instrText>
      </w:r>
      <w:r w:rsidR="0093335B">
        <w:fldChar w:fldCharType="separate"/>
      </w:r>
      <w:r w:rsidR="00E138CB">
        <w:rPr>
          <w:noProof/>
        </w:rPr>
        <w:t>3</w:t>
      </w:r>
      <w:r w:rsidR="0093335B">
        <w:rPr>
          <w:noProof/>
        </w:rPr>
        <w:fldChar w:fldCharType="end"/>
      </w:r>
      <w:bookmarkEnd w:id="8"/>
      <w:r w:rsidRPr="000631A9">
        <w:t>: EC-PDTCH/D</w:t>
      </w:r>
      <w:r w:rsidR="00E63BA3" w:rsidRPr="000631A9">
        <w:t>, EC-PACCH/D</w:t>
      </w:r>
    </w:p>
    <w:p w:rsidR="00DC1152" w:rsidRPr="000631A9" w:rsidRDefault="00AE4EAF" w:rsidP="00F67F30">
      <w:r>
        <w:object w:dxaOrig="15135" w:dyaOrig="12675">
          <v:shape id="_x0000_i1028" type="#_x0000_t75" style="width:413.2pt;height:346.25pt" o:ole="">
            <v:imagedata r:id="rId15" o:title=""/>
          </v:shape>
          <o:OLEObject Type="Embed" ProgID="Visio.Drawing.15" ShapeID="_x0000_i1028" DrawAspect="Content" ObjectID="_1516554347" r:id="rId16"/>
        </w:object>
      </w:r>
    </w:p>
    <w:p w:rsidR="00AD6192" w:rsidRPr="000631A9" w:rsidRDefault="00AD6192" w:rsidP="00F67F30">
      <w:pPr>
        <w:pStyle w:val="Caption"/>
      </w:pPr>
      <w:r w:rsidRPr="00AE4EAF">
        <w:rPr>
          <w:highlight w:val="yellow"/>
        </w:rPr>
        <w:t xml:space="preserve">Figure </w:t>
      </w:r>
      <w:r w:rsidR="006932B0" w:rsidRPr="00AE4EAF">
        <w:rPr>
          <w:highlight w:val="yellow"/>
        </w:rPr>
        <w:fldChar w:fldCharType="begin"/>
      </w:r>
      <w:r w:rsidR="006932B0" w:rsidRPr="00AE4EAF">
        <w:rPr>
          <w:highlight w:val="yellow"/>
        </w:rPr>
        <w:instrText xml:space="preserve"> SEQ Figure \* ARABIC </w:instrText>
      </w:r>
      <w:r w:rsidR="006932B0" w:rsidRPr="00AE4EAF">
        <w:rPr>
          <w:highlight w:val="yellow"/>
        </w:rPr>
        <w:fldChar w:fldCharType="separate"/>
      </w:r>
      <w:r w:rsidR="00E138CB">
        <w:rPr>
          <w:noProof/>
          <w:highlight w:val="yellow"/>
        </w:rPr>
        <w:t>4</w:t>
      </w:r>
      <w:r w:rsidR="006932B0" w:rsidRPr="00AE4EAF">
        <w:rPr>
          <w:noProof/>
          <w:highlight w:val="yellow"/>
        </w:rPr>
        <w:fldChar w:fldCharType="end"/>
      </w:r>
      <w:r w:rsidRPr="00AE4EAF">
        <w:rPr>
          <w:highlight w:val="yellow"/>
        </w:rPr>
        <w:t>: EC-CCCH/D</w:t>
      </w:r>
    </w:p>
    <w:p w:rsidR="004905C7" w:rsidRPr="000631A9" w:rsidRDefault="004905C7" w:rsidP="004905C7">
      <w:pPr>
        <w:pStyle w:val="Heading2"/>
        <w:rPr>
          <w:lang w:val="en-GB"/>
        </w:rPr>
      </w:pPr>
      <w:r w:rsidRPr="000631A9">
        <w:rPr>
          <w:lang w:val="en-GB"/>
        </w:rPr>
        <w:t>UL</w:t>
      </w:r>
    </w:p>
    <w:p w:rsidR="00A23814" w:rsidRPr="000631A9" w:rsidRDefault="00E63BA3" w:rsidP="00F67F30">
      <w:pPr>
        <w:pStyle w:val="BodyText"/>
      </w:pPr>
      <w:r w:rsidRPr="000631A9">
        <w:t xml:space="preserve">For </w:t>
      </w:r>
      <w:r w:rsidR="00A23814" w:rsidRPr="000631A9">
        <w:t>EC-</w:t>
      </w:r>
      <w:r w:rsidR="00D477E5" w:rsidRPr="000631A9">
        <w:t>PDTCH/U</w:t>
      </w:r>
      <w:r w:rsidRPr="000631A9">
        <w:t xml:space="preserve"> and EC-PACCH/U, see </w:t>
      </w:r>
      <w:r w:rsidRPr="000631A9">
        <w:fldChar w:fldCharType="begin"/>
      </w:r>
      <w:r w:rsidRPr="000631A9">
        <w:instrText xml:space="preserve"> REF _Ref437618221 \h </w:instrText>
      </w:r>
      <w:r w:rsidRPr="000631A9">
        <w:fldChar w:fldCharType="separate"/>
      </w:r>
      <w:r w:rsidR="00E138CB" w:rsidRPr="000631A9">
        <w:t xml:space="preserve">Figure </w:t>
      </w:r>
      <w:r w:rsidR="00E138CB">
        <w:rPr>
          <w:noProof/>
        </w:rPr>
        <w:t>3</w:t>
      </w:r>
      <w:r w:rsidRPr="000631A9">
        <w:fldChar w:fldCharType="end"/>
      </w:r>
      <w:r w:rsidRPr="000631A9">
        <w:t>.</w:t>
      </w:r>
    </w:p>
    <w:p w:rsidR="00E63BA3" w:rsidRPr="000631A9" w:rsidRDefault="00E63BA3" w:rsidP="00F67F30">
      <w:pPr>
        <w:pStyle w:val="BodyText"/>
      </w:pPr>
    </w:p>
    <w:p w:rsidR="00476CF5" w:rsidRPr="000631A9" w:rsidRDefault="00F65DAC" w:rsidP="00F67F30">
      <w:r w:rsidRPr="000631A9">
        <w:object w:dxaOrig="13950" w:dyaOrig="6331">
          <v:shape id="_x0000_i1029" type="#_x0000_t75" style="width:413.2pt;height:187.2pt" o:ole="">
            <v:imagedata r:id="rId17" o:title=""/>
          </v:shape>
          <o:OLEObject Type="Embed" ProgID="Visio.Drawing.15" ShapeID="_x0000_i1029" DrawAspect="Content" ObjectID="_1516554348" r:id="rId18"/>
        </w:object>
      </w:r>
    </w:p>
    <w:p w:rsidR="00A23814" w:rsidRPr="000631A9" w:rsidRDefault="00A23814" w:rsidP="00A23814">
      <w:pPr>
        <w:pStyle w:val="Caption"/>
      </w:pPr>
      <w:r w:rsidRPr="000631A9">
        <w:t xml:space="preserve">Figure </w:t>
      </w:r>
      <w:r w:rsidR="0093335B">
        <w:fldChar w:fldCharType="begin"/>
      </w:r>
      <w:r w:rsidR="0093335B">
        <w:instrText xml:space="preserve"> SEQ Figure \* ARABIC </w:instrText>
      </w:r>
      <w:r w:rsidR="0093335B">
        <w:fldChar w:fldCharType="separate"/>
      </w:r>
      <w:r w:rsidR="00E138CB">
        <w:rPr>
          <w:noProof/>
        </w:rPr>
        <w:t>5</w:t>
      </w:r>
      <w:r w:rsidR="0093335B">
        <w:rPr>
          <w:noProof/>
        </w:rPr>
        <w:fldChar w:fldCharType="end"/>
      </w:r>
      <w:r w:rsidRPr="000631A9">
        <w:t>: EC-C</w:t>
      </w:r>
      <w:r w:rsidR="00D477E5" w:rsidRPr="000631A9">
        <w:t>CCH/U, 1 TS EC-RACH</w:t>
      </w:r>
    </w:p>
    <w:p w:rsidR="00883B50" w:rsidRPr="000631A9" w:rsidRDefault="009F4053" w:rsidP="00F67F30">
      <w:r w:rsidRPr="000631A9">
        <w:object w:dxaOrig="14385" w:dyaOrig="11775">
          <v:shape id="_x0000_i1030" type="#_x0000_t75" style="width:412.6pt;height:338.1pt" o:ole="">
            <v:imagedata r:id="rId19" o:title=""/>
          </v:shape>
          <o:OLEObject Type="Embed" ProgID="Visio.Drawing.15" ShapeID="_x0000_i1030" DrawAspect="Content" ObjectID="_1516554349" r:id="rId20"/>
        </w:object>
      </w:r>
    </w:p>
    <w:p w:rsidR="00D477E5" w:rsidRPr="000631A9" w:rsidRDefault="00D477E5" w:rsidP="00D477E5">
      <w:pPr>
        <w:pStyle w:val="Caption"/>
      </w:pPr>
      <w:r w:rsidRPr="000631A9">
        <w:t xml:space="preserve">Figure </w:t>
      </w:r>
      <w:r w:rsidR="0093335B">
        <w:fldChar w:fldCharType="begin"/>
      </w:r>
      <w:r w:rsidR="0093335B">
        <w:instrText xml:space="preserve"> SEQ Figure \* ARABIC </w:instrText>
      </w:r>
      <w:r w:rsidR="0093335B">
        <w:fldChar w:fldCharType="separate"/>
      </w:r>
      <w:r w:rsidR="00E138CB">
        <w:rPr>
          <w:noProof/>
        </w:rPr>
        <w:t>6</w:t>
      </w:r>
      <w:r w:rsidR="0093335B">
        <w:rPr>
          <w:noProof/>
        </w:rPr>
        <w:fldChar w:fldCharType="end"/>
      </w:r>
      <w:r w:rsidRPr="000631A9">
        <w:t>: EC-CCCH/U, 2 TS EC-RACH</w:t>
      </w:r>
    </w:p>
    <w:p w:rsidR="0052089C" w:rsidRPr="000631A9" w:rsidRDefault="00851A6F" w:rsidP="00851A6F">
      <w:pPr>
        <w:pStyle w:val="Heading1"/>
      </w:pPr>
      <w:r w:rsidRPr="000631A9">
        <w:t>Discussion</w:t>
      </w:r>
      <w:r w:rsidR="00F45319" w:rsidRPr="000631A9">
        <w:t>/Conclusion</w:t>
      </w:r>
    </w:p>
    <w:p w:rsidR="00F847AC" w:rsidRPr="000631A9" w:rsidRDefault="002A6314" w:rsidP="0065275F">
      <w:pPr>
        <w:pStyle w:val="BodyText"/>
      </w:pPr>
      <w:r w:rsidRPr="000631A9">
        <w:t xml:space="preserve">The contribution has shown </w:t>
      </w:r>
      <w:r w:rsidR="007013C9" w:rsidRPr="000631A9">
        <w:t xml:space="preserve">how to align the coverage classes for EC-EGPRS. Priority has been taken to align them per link direction, considering that both different DL output power levels can be used by the base </w:t>
      </w:r>
      <w:r w:rsidR="00D204B3" w:rsidRPr="000631A9">
        <w:t>station</w:t>
      </w:r>
      <w:r w:rsidR="007013C9" w:rsidRPr="000631A9">
        <w:t xml:space="preserve"> and also different UL output power levels by the MS.</w:t>
      </w:r>
    </w:p>
    <w:p w:rsidR="00136DC9" w:rsidRPr="000631A9" w:rsidRDefault="00136DC9" w:rsidP="0065275F">
      <w:pPr>
        <w:pStyle w:val="BodyText"/>
      </w:pPr>
      <w:r w:rsidRPr="000631A9">
        <w:t xml:space="preserve">It should be noted that </w:t>
      </w:r>
      <w:r w:rsidR="00D204B3" w:rsidRPr="000631A9">
        <w:t>with a wider range covered by a coverage class more resources are generally needed compared to having a tighter coverage class granularity. However, there are ways to combat the potentially increased system interference by the use of power control (i.e. a user close to a lower coverage class can be down-regulated in power), and also overlaid CDMA can be used to combat loss in capacity.</w:t>
      </w:r>
    </w:p>
    <w:p w:rsidR="003402AE" w:rsidRPr="000631A9" w:rsidRDefault="003402AE" w:rsidP="0065275F">
      <w:pPr>
        <w:pStyle w:val="BodyText"/>
      </w:pPr>
      <w:r w:rsidRPr="000631A9">
        <w:t>Also, depending on the network implementation it is possible to set more aggressive coverage class thresholds in the direction of the EC-PACCH, compared to EC-PDTCH</w:t>
      </w:r>
      <w:r w:rsidR="00717851" w:rsidRPr="000631A9">
        <w:t xml:space="preserve"> in order to ensure robust control signaling</w:t>
      </w:r>
      <w:r w:rsidRPr="000631A9">
        <w:t>.</w:t>
      </w:r>
    </w:p>
    <w:p w:rsidR="006601D9" w:rsidRPr="000631A9" w:rsidRDefault="00BA58A3" w:rsidP="0065275F">
      <w:pPr>
        <w:pStyle w:val="BodyText"/>
      </w:pPr>
      <w:r w:rsidRPr="000631A9">
        <w:t xml:space="preserve">The contribution has focused the evaluation on the assumption that coherency is not required between TDMA frames. This assumption specifically has negative impact on the EC-RACH channel, increasing the maximum number of repetitions earlier proposed as 32 to 48. Using an alternative 2 TS EC-RACH mapping also improves performance so that </w:t>
      </w:r>
      <w:r w:rsidR="00022C4E" w:rsidRPr="000631A9">
        <w:t xml:space="preserve">the </w:t>
      </w:r>
      <w:r w:rsidRPr="000631A9">
        <w:t>32 repetition design can be kept (transmitted over 16 TDMA frames, and 2 TS)</w:t>
      </w:r>
      <w:r w:rsidR="00DA1A76" w:rsidRPr="000631A9">
        <w:t>, or alternatively the 2 TS mapping can be used for further increased link performance keeping the 48 repetitions while mapping the block to 2 TS.</w:t>
      </w:r>
    </w:p>
    <w:p w:rsidR="00485BCD" w:rsidRPr="000631A9" w:rsidRDefault="00485BCD" w:rsidP="00485BCD">
      <w:pPr>
        <w:pStyle w:val="Heading1"/>
      </w:pPr>
      <w:r w:rsidRPr="000631A9">
        <w:lastRenderedPageBreak/>
        <w:t>References</w:t>
      </w:r>
    </w:p>
    <w:bookmarkStart w:id="9" w:name="_Ref397674406"/>
    <w:bookmarkStart w:id="10" w:name="_Ref391121529"/>
    <w:bookmarkStart w:id="11" w:name="_Ref437514647"/>
    <w:p w:rsidR="00485BCD" w:rsidRPr="00AC1C7A" w:rsidRDefault="00485BCD" w:rsidP="00485BCD">
      <w:pPr>
        <w:pStyle w:val="Reference"/>
      </w:pPr>
      <w:r w:rsidRPr="00AC1C7A">
        <w:fldChar w:fldCharType="begin"/>
      </w:r>
      <w:r w:rsidRPr="00AC1C7A">
        <w:rPr>
          <w:lang w:val="en-GB"/>
        </w:rPr>
        <w:instrText xml:space="preserve"> HYPERLINK "ftp://www.3gpp.org/tsg_geran/TSG_GERAN/GERAN_67_Yinchuan/Docs/GP-151039.zip" </w:instrText>
      </w:r>
      <w:r w:rsidRPr="00AC1C7A">
        <w:fldChar w:fldCharType="separate"/>
      </w:r>
      <w:r w:rsidRPr="00AC1C7A">
        <w:rPr>
          <w:rStyle w:val="Hyperlink"/>
          <w:color w:val="auto"/>
          <w:lang w:val="en-GB"/>
        </w:rPr>
        <w:t>GP-151039</w:t>
      </w:r>
      <w:r w:rsidRPr="00AC1C7A">
        <w:fldChar w:fldCharType="end"/>
      </w:r>
      <w:r w:rsidRPr="00AC1C7A">
        <w:rPr>
          <w:lang w:val="en-GB"/>
        </w:rPr>
        <w:t>, “</w:t>
      </w:r>
      <w:bookmarkEnd w:id="9"/>
      <w:bookmarkEnd w:id="10"/>
      <w:r w:rsidRPr="00AC1C7A">
        <w:rPr>
          <w:lang w:val="en-GB"/>
        </w:rPr>
        <w:t xml:space="preserve">New Work Item on Extended Coverage GSM (EC-GSM) for support of Cellular Internet of Things”, source Ericsson LM, Intel, Gemalto N.V., MediaTek Inc., TeliaSonera AB, Sierra Wireless S.A., Telit Communications S.p.A., ORANGE, Nokia Networks, Alcatel-Lucent. </w:t>
      </w:r>
      <w:r w:rsidRPr="00AC1C7A">
        <w:t>GERAN#67.</w:t>
      </w:r>
      <w:bookmarkEnd w:id="11"/>
    </w:p>
    <w:bookmarkStart w:id="12" w:name="_Ref437514830"/>
    <w:p w:rsidR="00970BD1" w:rsidRPr="000631A9" w:rsidRDefault="009634A5" w:rsidP="00970BD1">
      <w:pPr>
        <w:pStyle w:val="Reference"/>
        <w:rPr>
          <w:lang w:val="en-GB"/>
        </w:rPr>
      </w:pPr>
      <w:r>
        <w:rPr>
          <w:lang w:val="en-GB"/>
        </w:rPr>
        <w:fldChar w:fldCharType="begin"/>
      </w:r>
      <w:r>
        <w:rPr>
          <w:lang w:val="en-GB"/>
        </w:rPr>
        <w:instrText xml:space="preserve"> HYPERLINK "ftp://www.3gpp.org/tsg_geran/TSG_GERAN/GERAN_69_Malta/Docs/GP-160026.zip" </w:instrText>
      </w:r>
      <w:r>
        <w:rPr>
          <w:lang w:val="en-GB"/>
        </w:rPr>
      </w:r>
      <w:r>
        <w:rPr>
          <w:lang w:val="en-GB"/>
        </w:rPr>
        <w:fldChar w:fldCharType="separate"/>
      </w:r>
      <w:r>
        <w:rPr>
          <w:rStyle w:val="Hyperlink"/>
          <w:lang w:val="en-GB"/>
        </w:rPr>
        <w:t>GP-160026</w:t>
      </w:r>
      <w:r>
        <w:rPr>
          <w:lang w:val="en-GB"/>
        </w:rPr>
        <w:fldChar w:fldCharType="end"/>
      </w:r>
      <w:r w:rsidR="00970BD1" w:rsidRPr="000631A9">
        <w:rPr>
          <w:lang w:val="en-GB"/>
        </w:rPr>
        <w:t>, “Dependency on number of coverage classes for EC-EGPRS on system capacity”, source Ericsson LM.</w:t>
      </w:r>
      <w:bookmarkEnd w:id="12"/>
    </w:p>
    <w:bookmarkStart w:id="13" w:name="_Ref433016511"/>
    <w:p w:rsidR="001B40AC" w:rsidRPr="000631A9" w:rsidRDefault="001B40AC" w:rsidP="001B40AC">
      <w:pPr>
        <w:pStyle w:val="Reference"/>
        <w:rPr>
          <w:lang w:val="en-GB"/>
        </w:rPr>
      </w:pPr>
      <w:r w:rsidRPr="000631A9">
        <w:fldChar w:fldCharType="begin"/>
      </w:r>
      <w:r w:rsidRPr="000631A9">
        <w:rPr>
          <w:lang w:val="en-GB"/>
        </w:rPr>
        <w:instrText xml:space="preserve"> HYPERLINK "http://www.3gpp.org/ftp/specs/archive/45_series/45.820/45820-d00.zip" </w:instrText>
      </w:r>
      <w:r w:rsidRPr="000631A9">
        <w:fldChar w:fldCharType="separate"/>
      </w:r>
      <w:r w:rsidRPr="000631A9">
        <w:rPr>
          <w:rStyle w:val="Hyperlink"/>
          <w:color w:val="auto"/>
          <w:lang w:val="en-GB"/>
        </w:rPr>
        <w:t>3GPP TR 45.820</w:t>
      </w:r>
      <w:r w:rsidRPr="000631A9">
        <w:fldChar w:fldCharType="end"/>
      </w:r>
      <w:r w:rsidRPr="000631A9">
        <w:rPr>
          <w:lang w:val="en-GB"/>
        </w:rPr>
        <w:t>, “Cellular system support for ultra-low complexity and low throughput Internet of Things (CIoT)”</w:t>
      </w:r>
      <w:bookmarkEnd w:id="13"/>
    </w:p>
    <w:bookmarkStart w:id="14" w:name="_Ref437847368"/>
    <w:p w:rsidR="00F67F30" w:rsidRPr="000631A9" w:rsidRDefault="00683BC5" w:rsidP="001B40AC">
      <w:pPr>
        <w:pStyle w:val="Reference"/>
        <w:rPr>
          <w:lang w:val="en-GB"/>
        </w:rPr>
      </w:pPr>
      <w:r>
        <w:rPr>
          <w:lang w:val="en-GB"/>
        </w:rPr>
        <w:fldChar w:fldCharType="begin"/>
      </w:r>
      <w:r>
        <w:rPr>
          <w:lang w:val="en-GB"/>
        </w:rPr>
        <w:instrText xml:space="preserve"> HYPERLINK "ftp://www.3gpp.org/tsg_geran/TSG_GERAN/GERAN_69_Malta/Docs/GP-160032.zip" </w:instrText>
      </w:r>
      <w:r>
        <w:rPr>
          <w:lang w:val="en-GB"/>
        </w:rPr>
      </w:r>
      <w:r>
        <w:rPr>
          <w:lang w:val="en-GB"/>
        </w:rPr>
        <w:fldChar w:fldCharType="separate"/>
      </w:r>
      <w:r>
        <w:rPr>
          <w:rStyle w:val="Hyperlink"/>
          <w:lang w:val="en-GB"/>
        </w:rPr>
        <w:t>GP-160032</w:t>
      </w:r>
      <w:r>
        <w:rPr>
          <w:lang w:val="en-GB"/>
        </w:rPr>
        <w:fldChar w:fldCharType="end"/>
      </w:r>
      <w:r w:rsidR="00F67F30" w:rsidRPr="000631A9">
        <w:rPr>
          <w:lang w:val="en-GB"/>
        </w:rPr>
        <w:t>, “Additional EC-RACH mapping”, source Ericsson LM. GERAN</w:t>
      </w:r>
      <w:r>
        <w:rPr>
          <w:lang w:val="en-GB"/>
        </w:rPr>
        <w:t>#69</w:t>
      </w:r>
      <w:r w:rsidR="00F67F30" w:rsidRPr="000631A9">
        <w:rPr>
          <w:lang w:val="en-GB"/>
        </w:rPr>
        <w:t>.</w:t>
      </w:r>
      <w:bookmarkEnd w:id="14"/>
    </w:p>
    <w:bookmarkStart w:id="15" w:name="_Ref439946342"/>
    <w:p w:rsidR="002551D7" w:rsidRPr="000631A9" w:rsidRDefault="00683BC5" w:rsidP="002551D7">
      <w:pPr>
        <w:pStyle w:val="Reference"/>
        <w:rPr>
          <w:lang w:val="en-GB"/>
        </w:rPr>
      </w:pPr>
      <w:r>
        <w:rPr>
          <w:lang w:val="en-GB"/>
        </w:rPr>
        <w:fldChar w:fldCharType="begin"/>
      </w:r>
      <w:r>
        <w:rPr>
          <w:lang w:val="en-GB"/>
        </w:rPr>
        <w:instrText xml:space="preserve"> HYPERLINK "ftp://www.3gpp.org/tsg_geran/TSG_GERAN/GERAN_69_Malta/Docs/GP-160027.zip" </w:instrText>
      </w:r>
      <w:r>
        <w:rPr>
          <w:lang w:val="en-GB"/>
        </w:rPr>
      </w:r>
      <w:r>
        <w:rPr>
          <w:lang w:val="en-GB"/>
        </w:rPr>
        <w:fldChar w:fldCharType="separate"/>
      </w:r>
      <w:r>
        <w:rPr>
          <w:rStyle w:val="Hyperlink"/>
          <w:lang w:val="en-GB"/>
        </w:rPr>
        <w:t>GP-160027</w:t>
      </w:r>
      <w:r>
        <w:rPr>
          <w:lang w:val="en-GB"/>
        </w:rPr>
        <w:fldChar w:fldCharType="end"/>
      </w:r>
      <w:r w:rsidR="002551D7" w:rsidRPr="000631A9">
        <w:rPr>
          <w:lang w:val="en-GB"/>
        </w:rPr>
        <w:t>, “On coherency assumption for EC-EGPRS (revision of GP-151181)”, source Ericsson LM. GERAN</w:t>
      </w:r>
      <w:r>
        <w:rPr>
          <w:lang w:val="en-GB"/>
        </w:rPr>
        <w:t>#69</w:t>
      </w:r>
      <w:r w:rsidR="002551D7" w:rsidRPr="000631A9">
        <w:rPr>
          <w:lang w:val="en-GB"/>
        </w:rPr>
        <w:t>.</w:t>
      </w:r>
      <w:bookmarkEnd w:id="15"/>
    </w:p>
    <w:sectPr w:rsidR="002551D7" w:rsidRPr="000631A9" w:rsidSect="002D4FA5">
      <w:headerReference w:type="default" r:id="rId21"/>
      <w:footerReference w:type="default" r:id="rId22"/>
      <w:headerReference w:type="first" r:id="rId23"/>
      <w:footerReference w:type="first" r:id="rId2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35B" w:rsidRDefault="0093335B">
      <w:r>
        <w:separator/>
      </w:r>
    </w:p>
  </w:endnote>
  <w:endnote w:type="continuationSeparator" w:id="0">
    <w:p w:rsidR="0093335B" w:rsidRDefault="0093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CF5" w:rsidRDefault="00476CF5">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E138CB">
      <w:rPr>
        <w:rStyle w:val="PageNumber"/>
        <w:noProof/>
      </w:rPr>
      <w:t>4</w:t>
    </w:r>
    <w:r>
      <w:rPr>
        <w:rStyle w:val="PageNumber"/>
      </w:rPr>
      <w:fldChar w:fldCharType="end"/>
    </w:r>
    <w:bookmarkStart w:id="1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38CB">
      <w:rPr>
        <w:rStyle w:val="PageNumber"/>
        <w:noProof/>
      </w:rPr>
      <w:t>10</w:t>
    </w:r>
    <w:r>
      <w:rPr>
        <w:rStyle w:val="PageNumber"/>
      </w:rPr>
      <w:fldChar w:fldCharType="end"/>
    </w:r>
    <w:r>
      <w:rPr>
        <w:rStyle w:val="PageNumber"/>
      </w:rPr>
      <w:t>)</w:t>
    </w:r>
    <w:bookmarkEnd w:id="1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CF5" w:rsidRDefault="00476CF5">
    <w:pPr>
      <w:pStyle w:val="Footer"/>
      <w:jc w:val="center"/>
    </w:pPr>
    <w:r>
      <w:rPr>
        <w:rStyle w:val="PageNumber"/>
      </w:rPr>
      <w:fldChar w:fldCharType="begin"/>
    </w:r>
    <w:r>
      <w:rPr>
        <w:rStyle w:val="PageNumber"/>
      </w:rPr>
      <w:instrText xml:space="preserve"> PAGE </w:instrText>
    </w:r>
    <w:r>
      <w:rPr>
        <w:rStyle w:val="PageNumber"/>
      </w:rPr>
      <w:fldChar w:fldCharType="separate"/>
    </w:r>
    <w:r w:rsidR="00E138C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38CB">
      <w:rPr>
        <w:rStyle w:val="PageNumber"/>
        <w:noProof/>
      </w:rPr>
      <w:t>10</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35B" w:rsidRDefault="0093335B">
      <w:r>
        <w:separator/>
      </w:r>
    </w:p>
  </w:footnote>
  <w:footnote w:type="continuationSeparator" w:id="0">
    <w:p w:rsidR="0093335B" w:rsidRDefault="00933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CF5" w:rsidRPr="00F67F30" w:rsidRDefault="00476CF5" w:rsidP="00EA60C1">
    <w:pPr>
      <w:pStyle w:val="Header"/>
      <w:rPr>
        <w:lang w:val="sv-SE"/>
      </w:rPr>
    </w:pPr>
    <w:r w:rsidRPr="00F67F30">
      <w:rPr>
        <w:lang w:val="sv-SE"/>
      </w:rPr>
      <w:t>3GPP TSG GERAN#69</w:t>
    </w:r>
    <w:r w:rsidRPr="00F67F30">
      <w:rPr>
        <w:lang w:val="sv-SE"/>
      </w:rPr>
      <w:tab/>
    </w:r>
    <w:r w:rsidRPr="00F67F30">
      <w:rPr>
        <w:lang w:val="sv-SE"/>
      </w:rPr>
      <w:tab/>
      <w:t>Tdoc GP-</w:t>
    </w:r>
    <w:r w:rsidR="004931E7">
      <w:rPr>
        <w:lang w:val="sv-SE"/>
      </w:rPr>
      <w:t>160</w:t>
    </w:r>
    <w:r w:rsidR="0000545A">
      <w:rPr>
        <w:lang w:val="sv-SE"/>
      </w:rPr>
      <w:t>030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CF5" w:rsidRPr="00F67F30" w:rsidRDefault="00476CF5" w:rsidP="0015360B">
    <w:pPr>
      <w:pStyle w:val="Header"/>
      <w:spacing w:after="0"/>
      <w:rPr>
        <w:lang w:val="sv-SE"/>
      </w:rPr>
    </w:pPr>
    <w:r w:rsidRPr="00F67F30">
      <w:rPr>
        <w:lang w:val="sv-SE"/>
      </w:rPr>
      <w:t>3GPP TSG GERAN#69</w:t>
    </w:r>
    <w:r w:rsidRPr="00F67F30">
      <w:rPr>
        <w:lang w:val="sv-SE"/>
      </w:rPr>
      <w:tab/>
    </w:r>
    <w:r w:rsidRPr="00F67F30">
      <w:rPr>
        <w:lang w:val="sv-SE"/>
      </w:rPr>
      <w:tab/>
      <w:t>Tdoc GP-</w:t>
    </w:r>
    <w:r w:rsidR="00611DAD" w:rsidRPr="00611DAD">
      <w:rPr>
        <w:lang w:val="sv-SE"/>
      </w:rPr>
      <w:t>160</w:t>
    </w:r>
    <w:r w:rsidR="002B4663">
      <w:rPr>
        <w:lang w:val="sv-SE"/>
      </w:rPr>
      <w:t>030</w:t>
    </w:r>
  </w:p>
  <w:p w:rsidR="00476CF5" w:rsidRPr="00F171F5" w:rsidRDefault="00476CF5" w:rsidP="0015360B">
    <w:pPr>
      <w:pStyle w:val="Header"/>
      <w:spacing w:after="0"/>
      <w:rPr>
        <w:lang w:val="it-IT"/>
      </w:rPr>
    </w:pPr>
    <w:r>
      <w:rPr>
        <w:lang w:val="it-IT"/>
      </w:rPr>
      <w:t>St. Julians, Malta</w:t>
    </w:r>
    <w:r w:rsidRPr="00F171F5">
      <w:rPr>
        <w:lang w:val="it-IT"/>
      </w:rPr>
      <w:tab/>
    </w:r>
    <w:r w:rsidRPr="00F171F5">
      <w:rPr>
        <w:lang w:val="it-IT"/>
      </w:rPr>
      <w:tab/>
      <w:t xml:space="preserve">Agenda item </w:t>
    </w:r>
    <w:r w:rsidR="00836994">
      <w:rPr>
        <w:lang w:val="it-IT"/>
      </w:rPr>
      <w:t>7.1.5.</w:t>
    </w:r>
    <w:r>
      <w:rPr>
        <w:lang w:val="it-IT"/>
      </w:rPr>
      <w:t>1.2</w:t>
    </w:r>
  </w:p>
  <w:p w:rsidR="00476CF5" w:rsidRPr="00264773" w:rsidRDefault="00476CF5" w:rsidP="0015360B">
    <w:pPr>
      <w:pStyle w:val="Header"/>
      <w:spacing w:after="0"/>
      <w:rPr>
        <w:snapToGrid w:val="0"/>
      </w:rPr>
    </w:pPr>
    <w:r>
      <w:t>15</w:t>
    </w:r>
    <w:r w:rsidRPr="00264773">
      <w:rPr>
        <w:vertAlign w:val="superscript"/>
      </w:rPr>
      <w:t>th</w:t>
    </w:r>
    <w:r w:rsidRPr="00264773">
      <w:t xml:space="preserve">– </w:t>
    </w:r>
    <w:r>
      <w:t>18</w:t>
    </w:r>
    <w:r w:rsidRPr="00B74E2C">
      <w:rPr>
        <w:vertAlign w:val="superscript"/>
      </w:rPr>
      <w:t>th</w:t>
    </w:r>
    <w:r>
      <w:t xml:space="preserve"> Feb</w:t>
    </w:r>
    <w:r w:rsidRPr="00264773">
      <w:t xml:space="preserve">, </w:t>
    </w:r>
    <w:r>
      <w:t>2016</w:t>
    </w:r>
    <w:r w:rsidRPr="00264773">
      <w:br/>
    </w:r>
    <w:bookmarkStart w:id="17" w:name="_Ref515183447"/>
    <w:bookmarkEnd w:id="17"/>
    <w:r w:rsidRPr="00264773">
      <w:t xml:space="preserve">Source: </w:t>
    </w:r>
    <w:r>
      <w:t>Ericsson</w:t>
    </w:r>
    <w:r w:rsidR="00FC6C73">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763"/>
        </w:tabs>
        <w:ind w:left="3763"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4A9E4156"/>
    <w:multiLevelType w:val="hybridMultilevel"/>
    <w:tmpl w:val="908CC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4CC7436E"/>
    <w:multiLevelType w:val="hybridMultilevel"/>
    <w:tmpl w:val="76F05C0A"/>
    <w:lvl w:ilvl="0" w:tplc="44B8C094">
      <w:start w:val="1"/>
      <w:numFmt w:val="bullet"/>
      <w:lvlText w:val=""/>
      <w:lvlJc w:val="left"/>
      <w:pPr>
        <w:ind w:left="445" w:hanging="360"/>
      </w:pPr>
      <w:rPr>
        <w:rFonts w:ascii="Symbol" w:eastAsia="Times New Roman" w:hAnsi="Symbol" w:cs="Times New Roman"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13">
    <w:nsid w:val="52BA6E86"/>
    <w:multiLevelType w:val="hybridMultilevel"/>
    <w:tmpl w:val="D8AE0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00B18BD"/>
    <w:multiLevelType w:val="hybridMultilevel"/>
    <w:tmpl w:val="93A6C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CAB0E59"/>
    <w:multiLevelType w:val="hybridMultilevel"/>
    <w:tmpl w:val="4D307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1"/>
  </w:num>
  <w:num w:numId="7">
    <w:abstractNumId w:val="6"/>
  </w:num>
  <w:num w:numId="8">
    <w:abstractNumId w:val="9"/>
  </w:num>
  <w:num w:numId="9">
    <w:abstractNumId w:val="14"/>
  </w:num>
  <w:num w:numId="10">
    <w:abstractNumId w:val="17"/>
  </w:num>
  <w:num w:numId="11">
    <w:abstractNumId w:val="8"/>
  </w:num>
  <w:num w:numId="12">
    <w:abstractNumId w:val="7"/>
  </w:num>
  <w:num w:numId="13">
    <w:abstractNumId w:val="0"/>
  </w:num>
  <w:num w:numId="14">
    <w:abstractNumId w:val="18"/>
  </w:num>
  <w:num w:numId="15">
    <w:abstractNumId w:val="15"/>
  </w:num>
  <w:num w:numId="16">
    <w:abstractNumId w:val="19"/>
  </w:num>
  <w:num w:numId="17">
    <w:abstractNumId w:val="10"/>
  </w:num>
  <w:num w:numId="18">
    <w:abstractNumId w:val="12"/>
  </w:num>
  <w:num w:numId="19">
    <w:abstractNumId w:val="16"/>
  </w:num>
  <w:num w:numId="2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0D6"/>
    <w:rsid w:val="0000229F"/>
    <w:rsid w:val="0000262D"/>
    <w:rsid w:val="00003D56"/>
    <w:rsid w:val="00004093"/>
    <w:rsid w:val="000043BD"/>
    <w:rsid w:val="0000545A"/>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2C4E"/>
    <w:rsid w:val="00023120"/>
    <w:rsid w:val="00023CB2"/>
    <w:rsid w:val="00023F23"/>
    <w:rsid w:val="0002404E"/>
    <w:rsid w:val="00024D19"/>
    <w:rsid w:val="00025AA8"/>
    <w:rsid w:val="00026F40"/>
    <w:rsid w:val="0002751E"/>
    <w:rsid w:val="00032747"/>
    <w:rsid w:val="00032810"/>
    <w:rsid w:val="00036EE4"/>
    <w:rsid w:val="00036FBD"/>
    <w:rsid w:val="0004021D"/>
    <w:rsid w:val="0004184D"/>
    <w:rsid w:val="000432B9"/>
    <w:rsid w:val="0004466D"/>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1A9"/>
    <w:rsid w:val="000632A2"/>
    <w:rsid w:val="000635EE"/>
    <w:rsid w:val="00064FA5"/>
    <w:rsid w:val="000654F1"/>
    <w:rsid w:val="00065596"/>
    <w:rsid w:val="0006577E"/>
    <w:rsid w:val="00065FC7"/>
    <w:rsid w:val="00066772"/>
    <w:rsid w:val="00066E4B"/>
    <w:rsid w:val="00070721"/>
    <w:rsid w:val="000711CC"/>
    <w:rsid w:val="00071548"/>
    <w:rsid w:val="00071AF4"/>
    <w:rsid w:val="00071C58"/>
    <w:rsid w:val="00072BAE"/>
    <w:rsid w:val="00073419"/>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4B05"/>
    <w:rsid w:val="000976AC"/>
    <w:rsid w:val="000A107F"/>
    <w:rsid w:val="000A2AF0"/>
    <w:rsid w:val="000A4168"/>
    <w:rsid w:val="000A55E2"/>
    <w:rsid w:val="000A614E"/>
    <w:rsid w:val="000A764B"/>
    <w:rsid w:val="000A7BFE"/>
    <w:rsid w:val="000B0822"/>
    <w:rsid w:val="000B0D3D"/>
    <w:rsid w:val="000B39FB"/>
    <w:rsid w:val="000B3D19"/>
    <w:rsid w:val="000B480F"/>
    <w:rsid w:val="000B4A93"/>
    <w:rsid w:val="000B4CA8"/>
    <w:rsid w:val="000B5E4F"/>
    <w:rsid w:val="000B60B6"/>
    <w:rsid w:val="000B62EB"/>
    <w:rsid w:val="000B709F"/>
    <w:rsid w:val="000B74A0"/>
    <w:rsid w:val="000B7CC5"/>
    <w:rsid w:val="000C01CF"/>
    <w:rsid w:val="000C0EF3"/>
    <w:rsid w:val="000C246D"/>
    <w:rsid w:val="000C53C6"/>
    <w:rsid w:val="000C68E2"/>
    <w:rsid w:val="000C6B47"/>
    <w:rsid w:val="000C724E"/>
    <w:rsid w:val="000C7E27"/>
    <w:rsid w:val="000D04AC"/>
    <w:rsid w:val="000D0A0B"/>
    <w:rsid w:val="000D0EAC"/>
    <w:rsid w:val="000D3EA3"/>
    <w:rsid w:val="000D42AC"/>
    <w:rsid w:val="000D4591"/>
    <w:rsid w:val="000D56D0"/>
    <w:rsid w:val="000D5EF9"/>
    <w:rsid w:val="000D5F36"/>
    <w:rsid w:val="000D63EA"/>
    <w:rsid w:val="000D68A1"/>
    <w:rsid w:val="000D6A70"/>
    <w:rsid w:val="000D7C96"/>
    <w:rsid w:val="000D7EFF"/>
    <w:rsid w:val="000E0287"/>
    <w:rsid w:val="000E0BCF"/>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33A"/>
    <w:rsid w:val="001158B9"/>
    <w:rsid w:val="0011683C"/>
    <w:rsid w:val="00117FCF"/>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33CA"/>
    <w:rsid w:val="001368AE"/>
    <w:rsid w:val="00136DC9"/>
    <w:rsid w:val="00137218"/>
    <w:rsid w:val="001404E2"/>
    <w:rsid w:val="00140B83"/>
    <w:rsid w:val="00144049"/>
    <w:rsid w:val="001449B8"/>
    <w:rsid w:val="0014523B"/>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6104"/>
    <w:rsid w:val="001865CD"/>
    <w:rsid w:val="00186826"/>
    <w:rsid w:val="00186BB6"/>
    <w:rsid w:val="001873BB"/>
    <w:rsid w:val="001879A6"/>
    <w:rsid w:val="00187FFC"/>
    <w:rsid w:val="00190296"/>
    <w:rsid w:val="00190AED"/>
    <w:rsid w:val="001919BD"/>
    <w:rsid w:val="00191E6B"/>
    <w:rsid w:val="00192386"/>
    <w:rsid w:val="0019274D"/>
    <w:rsid w:val="0019378B"/>
    <w:rsid w:val="00193BE6"/>
    <w:rsid w:val="0019426B"/>
    <w:rsid w:val="00196B77"/>
    <w:rsid w:val="001A0904"/>
    <w:rsid w:val="001A14DB"/>
    <w:rsid w:val="001A31E6"/>
    <w:rsid w:val="001A68ED"/>
    <w:rsid w:val="001A74BA"/>
    <w:rsid w:val="001B033B"/>
    <w:rsid w:val="001B11C2"/>
    <w:rsid w:val="001B1402"/>
    <w:rsid w:val="001B17B1"/>
    <w:rsid w:val="001B1A12"/>
    <w:rsid w:val="001B40AC"/>
    <w:rsid w:val="001B4E2B"/>
    <w:rsid w:val="001B4FA4"/>
    <w:rsid w:val="001B68ED"/>
    <w:rsid w:val="001C03F9"/>
    <w:rsid w:val="001C0B20"/>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03AB"/>
    <w:rsid w:val="001F18F0"/>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4B8"/>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252"/>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4FD3"/>
    <w:rsid w:val="002551D7"/>
    <w:rsid w:val="002559B1"/>
    <w:rsid w:val="00256007"/>
    <w:rsid w:val="00256299"/>
    <w:rsid w:val="00256AC4"/>
    <w:rsid w:val="002576BD"/>
    <w:rsid w:val="00257954"/>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2CDF"/>
    <w:rsid w:val="00274B4F"/>
    <w:rsid w:val="00275A0A"/>
    <w:rsid w:val="00276C25"/>
    <w:rsid w:val="0027726F"/>
    <w:rsid w:val="00277788"/>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A6314"/>
    <w:rsid w:val="002B111F"/>
    <w:rsid w:val="002B1B4D"/>
    <w:rsid w:val="002B20B6"/>
    <w:rsid w:val="002B2339"/>
    <w:rsid w:val="002B341F"/>
    <w:rsid w:val="002B4663"/>
    <w:rsid w:val="002B6A64"/>
    <w:rsid w:val="002B7360"/>
    <w:rsid w:val="002C0170"/>
    <w:rsid w:val="002C0369"/>
    <w:rsid w:val="002C168B"/>
    <w:rsid w:val="002C1828"/>
    <w:rsid w:val="002C20B2"/>
    <w:rsid w:val="002C3AC9"/>
    <w:rsid w:val="002C631C"/>
    <w:rsid w:val="002C6CB3"/>
    <w:rsid w:val="002C6E37"/>
    <w:rsid w:val="002C790C"/>
    <w:rsid w:val="002C7B47"/>
    <w:rsid w:val="002D19D8"/>
    <w:rsid w:val="002D1A08"/>
    <w:rsid w:val="002D2269"/>
    <w:rsid w:val="002D228A"/>
    <w:rsid w:val="002D28DA"/>
    <w:rsid w:val="002D2951"/>
    <w:rsid w:val="002D32A3"/>
    <w:rsid w:val="002D36D3"/>
    <w:rsid w:val="002D4822"/>
    <w:rsid w:val="002D4A3A"/>
    <w:rsid w:val="002D4FA5"/>
    <w:rsid w:val="002D5B56"/>
    <w:rsid w:val="002D6EAA"/>
    <w:rsid w:val="002D70C6"/>
    <w:rsid w:val="002D784B"/>
    <w:rsid w:val="002E112B"/>
    <w:rsid w:val="002E2199"/>
    <w:rsid w:val="002E253A"/>
    <w:rsid w:val="002E43B2"/>
    <w:rsid w:val="002E4DD7"/>
    <w:rsid w:val="002E6E59"/>
    <w:rsid w:val="002F0AD0"/>
    <w:rsid w:val="002F0D0E"/>
    <w:rsid w:val="002F1070"/>
    <w:rsid w:val="002F14AC"/>
    <w:rsid w:val="002F174E"/>
    <w:rsid w:val="002F2A7F"/>
    <w:rsid w:val="002F2B72"/>
    <w:rsid w:val="002F3013"/>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02AE"/>
    <w:rsid w:val="003430FE"/>
    <w:rsid w:val="00343A5A"/>
    <w:rsid w:val="0034451D"/>
    <w:rsid w:val="00344A53"/>
    <w:rsid w:val="0034663F"/>
    <w:rsid w:val="003468BC"/>
    <w:rsid w:val="00346C12"/>
    <w:rsid w:val="003500A7"/>
    <w:rsid w:val="00351194"/>
    <w:rsid w:val="00351BAD"/>
    <w:rsid w:val="00353745"/>
    <w:rsid w:val="003549E9"/>
    <w:rsid w:val="0035554D"/>
    <w:rsid w:val="00356ED2"/>
    <w:rsid w:val="00360675"/>
    <w:rsid w:val="00360C7D"/>
    <w:rsid w:val="00360E32"/>
    <w:rsid w:val="0036197A"/>
    <w:rsid w:val="00362116"/>
    <w:rsid w:val="0036295C"/>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365"/>
    <w:rsid w:val="003A4956"/>
    <w:rsid w:val="003A50A4"/>
    <w:rsid w:val="003B0263"/>
    <w:rsid w:val="003B0C4D"/>
    <w:rsid w:val="003B1908"/>
    <w:rsid w:val="003B2F9E"/>
    <w:rsid w:val="003B4192"/>
    <w:rsid w:val="003B5A41"/>
    <w:rsid w:val="003C0CB1"/>
    <w:rsid w:val="003C184B"/>
    <w:rsid w:val="003C1B66"/>
    <w:rsid w:val="003C3FEE"/>
    <w:rsid w:val="003C4258"/>
    <w:rsid w:val="003C458B"/>
    <w:rsid w:val="003C4B82"/>
    <w:rsid w:val="003C533F"/>
    <w:rsid w:val="003C56F6"/>
    <w:rsid w:val="003D00E2"/>
    <w:rsid w:val="003D0379"/>
    <w:rsid w:val="003D291F"/>
    <w:rsid w:val="003D3255"/>
    <w:rsid w:val="003D39F6"/>
    <w:rsid w:val="003D50DE"/>
    <w:rsid w:val="003D5365"/>
    <w:rsid w:val="003D5851"/>
    <w:rsid w:val="003D6049"/>
    <w:rsid w:val="003E0239"/>
    <w:rsid w:val="003E13BA"/>
    <w:rsid w:val="003E1AF7"/>
    <w:rsid w:val="003E2CE0"/>
    <w:rsid w:val="003E561A"/>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D37"/>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41E"/>
    <w:rsid w:val="00426A4B"/>
    <w:rsid w:val="00427216"/>
    <w:rsid w:val="00427A22"/>
    <w:rsid w:val="004310B2"/>
    <w:rsid w:val="00431DD7"/>
    <w:rsid w:val="00432A46"/>
    <w:rsid w:val="00433BB1"/>
    <w:rsid w:val="00434F66"/>
    <w:rsid w:val="004362AD"/>
    <w:rsid w:val="00436343"/>
    <w:rsid w:val="00436C08"/>
    <w:rsid w:val="00440418"/>
    <w:rsid w:val="004413F7"/>
    <w:rsid w:val="00443147"/>
    <w:rsid w:val="004431AE"/>
    <w:rsid w:val="004433A7"/>
    <w:rsid w:val="004451A8"/>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67F28"/>
    <w:rsid w:val="00470004"/>
    <w:rsid w:val="004709FB"/>
    <w:rsid w:val="00471C65"/>
    <w:rsid w:val="00472DBB"/>
    <w:rsid w:val="00472E97"/>
    <w:rsid w:val="00474DAD"/>
    <w:rsid w:val="00476CF5"/>
    <w:rsid w:val="00477BC7"/>
    <w:rsid w:val="00477E7F"/>
    <w:rsid w:val="00477F1D"/>
    <w:rsid w:val="004807A0"/>
    <w:rsid w:val="00480A76"/>
    <w:rsid w:val="00481291"/>
    <w:rsid w:val="004819BD"/>
    <w:rsid w:val="00482735"/>
    <w:rsid w:val="00483D93"/>
    <w:rsid w:val="00485718"/>
    <w:rsid w:val="00485BCD"/>
    <w:rsid w:val="00485FB5"/>
    <w:rsid w:val="004905C7"/>
    <w:rsid w:val="00490A59"/>
    <w:rsid w:val="00490C01"/>
    <w:rsid w:val="0049190D"/>
    <w:rsid w:val="004931E7"/>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2719"/>
    <w:rsid w:val="004F337C"/>
    <w:rsid w:val="004F483D"/>
    <w:rsid w:val="004F4DAD"/>
    <w:rsid w:val="004F57CD"/>
    <w:rsid w:val="004F6AF6"/>
    <w:rsid w:val="00500387"/>
    <w:rsid w:val="0050149B"/>
    <w:rsid w:val="00504DA0"/>
    <w:rsid w:val="005057E5"/>
    <w:rsid w:val="00505E76"/>
    <w:rsid w:val="00506066"/>
    <w:rsid w:val="00507936"/>
    <w:rsid w:val="00512D68"/>
    <w:rsid w:val="0051442B"/>
    <w:rsid w:val="00514990"/>
    <w:rsid w:val="005150AE"/>
    <w:rsid w:val="00515139"/>
    <w:rsid w:val="005159BF"/>
    <w:rsid w:val="00515EF6"/>
    <w:rsid w:val="00516C54"/>
    <w:rsid w:val="00517EE8"/>
    <w:rsid w:val="0052089C"/>
    <w:rsid w:val="0052242C"/>
    <w:rsid w:val="00522448"/>
    <w:rsid w:val="0052248A"/>
    <w:rsid w:val="00522749"/>
    <w:rsid w:val="00522F17"/>
    <w:rsid w:val="00523AEF"/>
    <w:rsid w:val="00525053"/>
    <w:rsid w:val="00525A1A"/>
    <w:rsid w:val="00526421"/>
    <w:rsid w:val="005275BF"/>
    <w:rsid w:val="00527ECA"/>
    <w:rsid w:val="005300BD"/>
    <w:rsid w:val="00530AA1"/>
    <w:rsid w:val="00532F08"/>
    <w:rsid w:val="00533CB5"/>
    <w:rsid w:val="00534785"/>
    <w:rsid w:val="00536ECE"/>
    <w:rsid w:val="00536FFE"/>
    <w:rsid w:val="005379D0"/>
    <w:rsid w:val="00537C09"/>
    <w:rsid w:val="00541822"/>
    <w:rsid w:val="005418B8"/>
    <w:rsid w:val="00542072"/>
    <w:rsid w:val="00542758"/>
    <w:rsid w:val="00542A5B"/>
    <w:rsid w:val="0054313F"/>
    <w:rsid w:val="00543811"/>
    <w:rsid w:val="00543A92"/>
    <w:rsid w:val="00545ABA"/>
    <w:rsid w:val="0054648C"/>
    <w:rsid w:val="00546A38"/>
    <w:rsid w:val="00546D41"/>
    <w:rsid w:val="005470B5"/>
    <w:rsid w:val="00547862"/>
    <w:rsid w:val="00550447"/>
    <w:rsid w:val="005514A5"/>
    <w:rsid w:val="00551707"/>
    <w:rsid w:val="00552484"/>
    <w:rsid w:val="00552682"/>
    <w:rsid w:val="00552B26"/>
    <w:rsid w:val="0055641B"/>
    <w:rsid w:val="00557068"/>
    <w:rsid w:val="0056018D"/>
    <w:rsid w:val="00560496"/>
    <w:rsid w:val="005610C2"/>
    <w:rsid w:val="00561CD5"/>
    <w:rsid w:val="0056381C"/>
    <w:rsid w:val="0056398F"/>
    <w:rsid w:val="00564D8B"/>
    <w:rsid w:val="00565359"/>
    <w:rsid w:val="0056638F"/>
    <w:rsid w:val="0057183F"/>
    <w:rsid w:val="00572115"/>
    <w:rsid w:val="005722D3"/>
    <w:rsid w:val="00572484"/>
    <w:rsid w:val="00572FE4"/>
    <w:rsid w:val="00574A7E"/>
    <w:rsid w:val="00575026"/>
    <w:rsid w:val="005761DC"/>
    <w:rsid w:val="00577B77"/>
    <w:rsid w:val="00577BFA"/>
    <w:rsid w:val="00581CB5"/>
    <w:rsid w:val="0058382C"/>
    <w:rsid w:val="0058524D"/>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069"/>
    <w:rsid w:val="005A01D5"/>
    <w:rsid w:val="005A0A14"/>
    <w:rsid w:val="005A0E38"/>
    <w:rsid w:val="005A0E8D"/>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0F5E"/>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5F6170"/>
    <w:rsid w:val="0060025B"/>
    <w:rsid w:val="00601C5D"/>
    <w:rsid w:val="00601E50"/>
    <w:rsid w:val="0060466E"/>
    <w:rsid w:val="006052FE"/>
    <w:rsid w:val="00605B74"/>
    <w:rsid w:val="0060708B"/>
    <w:rsid w:val="00607753"/>
    <w:rsid w:val="0061108A"/>
    <w:rsid w:val="006113FC"/>
    <w:rsid w:val="006119A3"/>
    <w:rsid w:val="00611DAD"/>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75F"/>
    <w:rsid w:val="00652E0D"/>
    <w:rsid w:val="00653594"/>
    <w:rsid w:val="006535FB"/>
    <w:rsid w:val="0065500D"/>
    <w:rsid w:val="00655838"/>
    <w:rsid w:val="006559EB"/>
    <w:rsid w:val="006562A7"/>
    <w:rsid w:val="00657091"/>
    <w:rsid w:val="006573AA"/>
    <w:rsid w:val="006601D9"/>
    <w:rsid w:val="006608EF"/>
    <w:rsid w:val="006620A5"/>
    <w:rsid w:val="00662462"/>
    <w:rsid w:val="00663EFE"/>
    <w:rsid w:val="00664B71"/>
    <w:rsid w:val="00664D30"/>
    <w:rsid w:val="006653EB"/>
    <w:rsid w:val="0066745E"/>
    <w:rsid w:val="00670188"/>
    <w:rsid w:val="0067100F"/>
    <w:rsid w:val="00671CBC"/>
    <w:rsid w:val="00674101"/>
    <w:rsid w:val="00674774"/>
    <w:rsid w:val="0067611F"/>
    <w:rsid w:val="006770EC"/>
    <w:rsid w:val="006819AB"/>
    <w:rsid w:val="0068322B"/>
    <w:rsid w:val="0068361B"/>
    <w:rsid w:val="00683BC5"/>
    <w:rsid w:val="00683E81"/>
    <w:rsid w:val="0068430B"/>
    <w:rsid w:val="00685D10"/>
    <w:rsid w:val="00685F12"/>
    <w:rsid w:val="00686E96"/>
    <w:rsid w:val="00686EA0"/>
    <w:rsid w:val="00687AA2"/>
    <w:rsid w:val="00690F01"/>
    <w:rsid w:val="00691164"/>
    <w:rsid w:val="00691304"/>
    <w:rsid w:val="0069152B"/>
    <w:rsid w:val="0069194E"/>
    <w:rsid w:val="0069214C"/>
    <w:rsid w:val="006932B0"/>
    <w:rsid w:val="00693F43"/>
    <w:rsid w:val="00696557"/>
    <w:rsid w:val="00696867"/>
    <w:rsid w:val="00697816"/>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8BF"/>
    <w:rsid w:val="006B4A37"/>
    <w:rsid w:val="006B5ABA"/>
    <w:rsid w:val="006B6E1F"/>
    <w:rsid w:val="006B6E9D"/>
    <w:rsid w:val="006B793B"/>
    <w:rsid w:val="006B7EA3"/>
    <w:rsid w:val="006C0972"/>
    <w:rsid w:val="006C13D9"/>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B9E"/>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E87"/>
    <w:rsid w:val="006F2F8B"/>
    <w:rsid w:val="006F327A"/>
    <w:rsid w:val="006F48EF"/>
    <w:rsid w:val="006F5664"/>
    <w:rsid w:val="006F59CA"/>
    <w:rsid w:val="006F5DB2"/>
    <w:rsid w:val="006F677A"/>
    <w:rsid w:val="006F707B"/>
    <w:rsid w:val="006F738D"/>
    <w:rsid w:val="00700D79"/>
    <w:rsid w:val="00700FEA"/>
    <w:rsid w:val="007013C9"/>
    <w:rsid w:val="007038D6"/>
    <w:rsid w:val="007046E5"/>
    <w:rsid w:val="00706478"/>
    <w:rsid w:val="00710CE4"/>
    <w:rsid w:val="00711FCB"/>
    <w:rsid w:val="00712315"/>
    <w:rsid w:val="00713126"/>
    <w:rsid w:val="00713FCD"/>
    <w:rsid w:val="0071425B"/>
    <w:rsid w:val="007147A7"/>
    <w:rsid w:val="00714CC0"/>
    <w:rsid w:val="00714EF4"/>
    <w:rsid w:val="00715CE3"/>
    <w:rsid w:val="00717851"/>
    <w:rsid w:val="00717A09"/>
    <w:rsid w:val="007219B5"/>
    <w:rsid w:val="007221BC"/>
    <w:rsid w:val="00723631"/>
    <w:rsid w:val="00725F43"/>
    <w:rsid w:val="0072671C"/>
    <w:rsid w:val="00726BAA"/>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3F50"/>
    <w:rsid w:val="007444DE"/>
    <w:rsid w:val="007447CE"/>
    <w:rsid w:val="00745E82"/>
    <w:rsid w:val="00745EB8"/>
    <w:rsid w:val="0074618E"/>
    <w:rsid w:val="007462D9"/>
    <w:rsid w:val="00747DAF"/>
    <w:rsid w:val="00750C4F"/>
    <w:rsid w:val="007510A8"/>
    <w:rsid w:val="0075183F"/>
    <w:rsid w:val="00751B80"/>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B8D"/>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6E89"/>
    <w:rsid w:val="007C7669"/>
    <w:rsid w:val="007C7C52"/>
    <w:rsid w:val="007C7EBC"/>
    <w:rsid w:val="007D0AFA"/>
    <w:rsid w:val="007D1FBE"/>
    <w:rsid w:val="007D2656"/>
    <w:rsid w:val="007D2BB3"/>
    <w:rsid w:val="007D362F"/>
    <w:rsid w:val="007D3ABF"/>
    <w:rsid w:val="007D417B"/>
    <w:rsid w:val="007D5CAE"/>
    <w:rsid w:val="007D5D77"/>
    <w:rsid w:val="007D6EAB"/>
    <w:rsid w:val="007D7BCD"/>
    <w:rsid w:val="007E01FF"/>
    <w:rsid w:val="007E0F55"/>
    <w:rsid w:val="007E1B28"/>
    <w:rsid w:val="007E332E"/>
    <w:rsid w:val="007E39A9"/>
    <w:rsid w:val="007E5E3B"/>
    <w:rsid w:val="007E6FCE"/>
    <w:rsid w:val="007E766C"/>
    <w:rsid w:val="007E7869"/>
    <w:rsid w:val="007F0EBB"/>
    <w:rsid w:val="007F143B"/>
    <w:rsid w:val="007F15B6"/>
    <w:rsid w:val="007F26EA"/>
    <w:rsid w:val="007F43C7"/>
    <w:rsid w:val="007F595F"/>
    <w:rsid w:val="007F77EF"/>
    <w:rsid w:val="007F7AD7"/>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3B60"/>
    <w:rsid w:val="008146A0"/>
    <w:rsid w:val="00814970"/>
    <w:rsid w:val="0081517C"/>
    <w:rsid w:val="008152F1"/>
    <w:rsid w:val="0081597F"/>
    <w:rsid w:val="00815A45"/>
    <w:rsid w:val="0081646B"/>
    <w:rsid w:val="008168E3"/>
    <w:rsid w:val="00816EBF"/>
    <w:rsid w:val="0081740F"/>
    <w:rsid w:val="00817595"/>
    <w:rsid w:val="00820F4F"/>
    <w:rsid w:val="008210B9"/>
    <w:rsid w:val="0082192F"/>
    <w:rsid w:val="00822865"/>
    <w:rsid w:val="00822954"/>
    <w:rsid w:val="008230E9"/>
    <w:rsid w:val="00824F35"/>
    <w:rsid w:val="008252FD"/>
    <w:rsid w:val="0082596E"/>
    <w:rsid w:val="008259A4"/>
    <w:rsid w:val="008259C9"/>
    <w:rsid w:val="00827FE6"/>
    <w:rsid w:val="0083266C"/>
    <w:rsid w:val="00835451"/>
    <w:rsid w:val="008355CB"/>
    <w:rsid w:val="008359F7"/>
    <w:rsid w:val="00836994"/>
    <w:rsid w:val="00836AA2"/>
    <w:rsid w:val="00836CB0"/>
    <w:rsid w:val="00836DD3"/>
    <w:rsid w:val="0083714F"/>
    <w:rsid w:val="00840C09"/>
    <w:rsid w:val="00841790"/>
    <w:rsid w:val="008419F5"/>
    <w:rsid w:val="00842214"/>
    <w:rsid w:val="00843707"/>
    <w:rsid w:val="008464CC"/>
    <w:rsid w:val="0084767C"/>
    <w:rsid w:val="00847B4E"/>
    <w:rsid w:val="00847BFD"/>
    <w:rsid w:val="00851A6F"/>
    <w:rsid w:val="00851B5D"/>
    <w:rsid w:val="00852183"/>
    <w:rsid w:val="00852E0E"/>
    <w:rsid w:val="00853A92"/>
    <w:rsid w:val="00854276"/>
    <w:rsid w:val="008542CC"/>
    <w:rsid w:val="00854E92"/>
    <w:rsid w:val="00855925"/>
    <w:rsid w:val="00855DBA"/>
    <w:rsid w:val="00856EE4"/>
    <w:rsid w:val="008572C6"/>
    <w:rsid w:val="00857FE8"/>
    <w:rsid w:val="00860E39"/>
    <w:rsid w:val="00861571"/>
    <w:rsid w:val="00861B1D"/>
    <w:rsid w:val="00861D56"/>
    <w:rsid w:val="008673E6"/>
    <w:rsid w:val="0087066E"/>
    <w:rsid w:val="00871018"/>
    <w:rsid w:val="00872D05"/>
    <w:rsid w:val="008734E2"/>
    <w:rsid w:val="00873C95"/>
    <w:rsid w:val="00874384"/>
    <w:rsid w:val="0087552D"/>
    <w:rsid w:val="00880188"/>
    <w:rsid w:val="0088144E"/>
    <w:rsid w:val="0088226C"/>
    <w:rsid w:val="00882F60"/>
    <w:rsid w:val="00883B5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169"/>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46A"/>
    <w:rsid w:val="008D2C7A"/>
    <w:rsid w:val="008D4FD2"/>
    <w:rsid w:val="008D5128"/>
    <w:rsid w:val="008D5306"/>
    <w:rsid w:val="008D6967"/>
    <w:rsid w:val="008D6F61"/>
    <w:rsid w:val="008E0640"/>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1A6"/>
    <w:rsid w:val="008F7278"/>
    <w:rsid w:val="008F7417"/>
    <w:rsid w:val="009024E3"/>
    <w:rsid w:val="0090406D"/>
    <w:rsid w:val="00904441"/>
    <w:rsid w:val="00904768"/>
    <w:rsid w:val="009053AC"/>
    <w:rsid w:val="0090592C"/>
    <w:rsid w:val="00905F4B"/>
    <w:rsid w:val="00906EAE"/>
    <w:rsid w:val="00907A77"/>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35B"/>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110"/>
    <w:rsid w:val="00957F2E"/>
    <w:rsid w:val="00961501"/>
    <w:rsid w:val="009615EA"/>
    <w:rsid w:val="00961EA6"/>
    <w:rsid w:val="009634A5"/>
    <w:rsid w:val="00963557"/>
    <w:rsid w:val="00963ED4"/>
    <w:rsid w:val="00964DB8"/>
    <w:rsid w:val="0096510E"/>
    <w:rsid w:val="00966EBD"/>
    <w:rsid w:val="0097016A"/>
    <w:rsid w:val="009702FB"/>
    <w:rsid w:val="0097044C"/>
    <w:rsid w:val="0097081F"/>
    <w:rsid w:val="00970BD1"/>
    <w:rsid w:val="00971131"/>
    <w:rsid w:val="00974859"/>
    <w:rsid w:val="009748CC"/>
    <w:rsid w:val="00974F70"/>
    <w:rsid w:val="00975092"/>
    <w:rsid w:val="00975633"/>
    <w:rsid w:val="00981412"/>
    <w:rsid w:val="009816E3"/>
    <w:rsid w:val="00985D0E"/>
    <w:rsid w:val="0098689B"/>
    <w:rsid w:val="009868E7"/>
    <w:rsid w:val="009873E9"/>
    <w:rsid w:val="009908C2"/>
    <w:rsid w:val="00991BF9"/>
    <w:rsid w:val="00992030"/>
    <w:rsid w:val="009924C8"/>
    <w:rsid w:val="0099264B"/>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3F"/>
    <w:rsid w:val="009A27BC"/>
    <w:rsid w:val="009A3ED4"/>
    <w:rsid w:val="009A51C2"/>
    <w:rsid w:val="009A5E8C"/>
    <w:rsid w:val="009A6C28"/>
    <w:rsid w:val="009A70EC"/>
    <w:rsid w:val="009A727E"/>
    <w:rsid w:val="009A7692"/>
    <w:rsid w:val="009B1872"/>
    <w:rsid w:val="009B3256"/>
    <w:rsid w:val="009B3DBE"/>
    <w:rsid w:val="009B465C"/>
    <w:rsid w:val="009B51A5"/>
    <w:rsid w:val="009B52B1"/>
    <w:rsid w:val="009B6324"/>
    <w:rsid w:val="009B66C8"/>
    <w:rsid w:val="009B71D3"/>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0D7D"/>
    <w:rsid w:val="009E1440"/>
    <w:rsid w:val="009E1B7D"/>
    <w:rsid w:val="009E2592"/>
    <w:rsid w:val="009E284C"/>
    <w:rsid w:val="009E353C"/>
    <w:rsid w:val="009E3E7A"/>
    <w:rsid w:val="009E4E50"/>
    <w:rsid w:val="009E55DC"/>
    <w:rsid w:val="009E599D"/>
    <w:rsid w:val="009E5A8B"/>
    <w:rsid w:val="009E6093"/>
    <w:rsid w:val="009E6BCA"/>
    <w:rsid w:val="009E74F0"/>
    <w:rsid w:val="009E7A4A"/>
    <w:rsid w:val="009F0813"/>
    <w:rsid w:val="009F097B"/>
    <w:rsid w:val="009F0B2A"/>
    <w:rsid w:val="009F1B3B"/>
    <w:rsid w:val="009F1E4F"/>
    <w:rsid w:val="009F2D18"/>
    <w:rsid w:val="009F365E"/>
    <w:rsid w:val="009F3E7A"/>
    <w:rsid w:val="009F4053"/>
    <w:rsid w:val="009F4272"/>
    <w:rsid w:val="009F554F"/>
    <w:rsid w:val="009F64ED"/>
    <w:rsid w:val="009F6A06"/>
    <w:rsid w:val="009F72C0"/>
    <w:rsid w:val="009F73AB"/>
    <w:rsid w:val="009F7F3A"/>
    <w:rsid w:val="00A00C65"/>
    <w:rsid w:val="00A01256"/>
    <w:rsid w:val="00A02C11"/>
    <w:rsid w:val="00A03D34"/>
    <w:rsid w:val="00A03DE4"/>
    <w:rsid w:val="00A045BA"/>
    <w:rsid w:val="00A04711"/>
    <w:rsid w:val="00A04FB3"/>
    <w:rsid w:val="00A05BD7"/>
    <w:rsid w:val="00A0685F"/>
    <w:rsid w:val="00A06E56"/>
    <w:rsid w:val="00A072E6"/>
    <w:rsid w:val="00A0757E"/>
    <w:rsid w:val="00A07A91"/>
    <w:rsid w:val="00A13206"/>
    <w:rsid w:val="00A1431D"/>
    <w:rsid w:val="00A14550"/>
    <w:rsid w:val="00A145A9"/>
    <w:rsid w:val="00A14CBA"/>
    <w:rsid w:val="00A15ACC"/>
    <w:rsid w:val="00A16417"/>
    <w:rsid w:val="00A16E42"/>
    <w:rsid w:val="00A170A3"/>
    <w:rsid w:val="00A17A45"/>
    <w:rsid w:val="00A17F97"/>
    <w:rsid w:val="00A202BC"/>
    <w:rsid w:val="00A203A2"/>
    <w:rsid w:val="00A20492"/>
    <w:rsid w:val="00A21649"/>
    <w:rsid w:val="00A21A01"/>
    <w:rsid w:val="00A220E6"/>
    <w:rsid w:val="00A220FF"/>
    <w:rsid w:val="00A22121"/>
    <w:rsid w:val="00A22D28"/>
    <w:rsid w:val="00A23814"/>
    <w:rsid w:val="00A23C47"/>
    <w:rsid w:val="00A24F11"/>
    <w:rsid w:val="00A2501C"/>
    <w:rsid w:val="00A25C2D"/>
    <w:rsid w:val="00A25E6E"/>
    <w:rsid w:val="00A260D4"/>
    <w:rsid w:val="00A26BF9"/>
    <w:rsid w:val="00A26CD1"/>
    <w:rsid w:val="00A26DC2"/>
    <w:rsid w:val="00A312FD"/>
    <w:rsid w:val="00A31A4F"/>
    <w:rsid w:val="00A31A78"/>
    <w:rsid w:val="00A31DA9"/>
    <w:rsid w:val="00A33DBD"/>
    <w:rsid w:val="00A36D5D"/>
    <w:rsid w:val="00A370A3"/>
    <w:rsid w:val="00A37CDA"/>
    <w:rsid w:val="00A40206"/>
    <w:rsid w:val="00A41843"/>
    <w:rsid w:val="00A41C41"/>
    <w:rsid w:val="00A4329E"/>
    <w:rsid w:val="00A44422"/>
    <w:rsid w:val="00A4458E"/>
    <w:rsid w:val="00A4578B"/>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4922"/>
    <w:rsid w:val="00A75032"/>
    <w:rsid w:val="00A771FE"/>
    <w:rsid w:val="00A77903"/>
    <w:rsid w:val="00A77E8A"/>
    <w:rsid w:val="00A80A21"/>
    <w:rsid w:val="00A81F16"/>
    <w:rsid w:val="00A82AD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67B9"/>
    <w:rsid w:val="00AA7877"/>
    <w:rsid w:val="00AA7F3B"/>
    <w:rsid w:val="00AB1BC5"/>
    <w:rsid w:val="00AB34FB"/>
    <w:rsid w:val="00AB386C"/>
    <w:rsid w:val="00AB3EA7"/>
    <w:rsid w:val="00AB5385"/>
    <w:rsid w:val="00AB63C9"/>
    <w:rsid w:val="00AB7BCC"/>
    <w:rsid w:val="00AC0945"/>
    <w:rsid w:val="00AC0D89"/>
    <w:rsid w:val="00AC0DED"/>
    <w:rsid w:val="00AC0EDD"/>
    <w:rsid w:val="00AC1C7A"/>
    <w:rsid w:val="00AC24D4"/>
    <w:rsid w:val="00AC286A"/>
    <w:rsid w:val="00AC30A5"/>
    <w:rsid w:val="00AC3589"/>
    <w:rsid w:val="00AC538B"/>
    <w:rsid w:val="00AC6483"/>
    <w:rsid w:val="00AD0CB0"/>
    <w:rsid w:val="00AD1131"/>
    <w:rsid w:val="00AD4CA1"/>
    <w:rsid w:val="00AD516F"/>
    <w:rsid w:val="00AD5589"/>
    <w:rsid w:val="00AD6192"/>
    <w:rsid w:val="00AE00A8"/>
    <w:rsid w:val="00AE06E4"/>
    <w:rsid w:val="00AE09E4"/>
    <w:rsid w:val="00AE0E4B"/>
    <w:rsid w:val="00AE2238"/>
    <w:rsid w:val="00AE2F94"/>
    <w:rsid w:val="00AE30CB"/>
    <w:rsid w:val="00AE444F"/>
    <w:rsid w:val="00AE451A"/>
    <w:rsid w:val="00AE4633"/>
    <w:rsid w:val="00AE4EAF"/>
    <w:rsid w:val="00AE4FD3"/>
    <w:rsid w:val="00AE52A5"/>
    <w:rsid w:val="00AE789D"/>
    <w:rsid w:val="00AE7D59"/>
    <w:rsid w:val="00AF20EE"/>
    <w:rsid w:val="00AF21AB"/>
    <w:rsid w:val="00AF2A5D"/>
    <w:rsid w:val="00AF2C2C"/>
    <w:rsid w:val="00AF39F4"/>
    <w:rsid w:val="00AF4D5D"/>
    <w:rsid w:val="00AF5525"/>
    <w:rsid w:val="00AF5F92"/>
    <w:rsid w:val="00AF66E6"/>
    <w:rsid w:val="00AF6B5D"/>
    <w:rsid w:val="00AF78C3"/>
    <w:rsid w:val="00B005F5"/>
    <w:rsid w:val="00B010BC"/>
    <w:rsid w:val="00B01283"/>
    <w:rsid w:val="00B03CFC"/>
    <w:rsid w:val="00B03D8E"/>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25BBF"/>
    <w:rsid w:val="00B30216"/>
    <w:rsid w:val="00B302E1"/>
    <w:rsid w:val="00B30754"/>
    <w:rsid w:val="00B30A0D"/>
    <w:rsid w:val="00B3150D"/>
    <w:rsid w:val="00B31F05"/>
    <w:rsid w:val="00B32C41"/>
    <w:rsid w:val="00B3398D"/>
    <w:rsid w:val="00B33CFE"/>
    <w:rsid w:val="00B3418A"/>
    <w:rsid w:val="00B34687"/>
    <w:rsid w:val="00B34E57"/>
    <w:rsid w:val="00B36D58"/>
    <w:rsid w:val="00B371AF"/>
    <w:rsid w:val="00B37B83"/>
    <w:rsid w:val="00B411C5"/>
    <w:rsid w:val="00B415F6"/>
    <w:rsid w:val="00B417FD"/>
    <w:rsid w:val="00B41FF3"/>
    <w:rsid w:val="00B4221C"/>
    <w:rsid w:val="00B42441"/>
    <w:rsid w:val="00B443CB"/>
    <w:rsid w:val="00B460C7"/>
    <w:rsid w:val="00B47F23"/>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840"/>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1543"/>
    <w:rsid w:val="00BA5047"/>
    <w:rsid w:val="00BA54C2"/>
    <w:rsid w:val="00BA5776"/>
    <w:rsid w:val="00BA58A3"/>
    <w:rsid w:val="00BA62A8"/>
    <w:rsid w:val="00BB188F"/>
    <w:rsid w:val="00BB1FC3"/>
    <w:rsid w:val="00BB26EE"/>
    <w:rsid w:val="00BB2967"/>
    <w:rsid w:val="00BB2ACB"/>
    <w:rsid w:val="00BB424C"/>
    <w:rsid w:val="00BB473E"/>
    <w:rsid w:val="00BB5810"/>
    <w:rsid w:val="00BB6169"/>
    <w:rsid w:val="00BB69B0"/>
    <w:rsid w:val="00BB78FA"/>
    <w:rsid w:val="00BC0565"/>
    <w:rsid w:val="00BC4DAB"/>
    <w:rsid w:val="00BC5599"/>
    <w:rsid w:val="00BC5BDA"/>
    <w:rsid w:val="00BC65F4"/>
    <w:rsid w:val="00BC67F5"/>
    <w:rsid w:val="00BC7865"/>
    <w:rsid w:val="00BC796E"/>
    <w:rsid w:val="00BC7FC9"/>
    <w:rsid w:val="00BD0D8B"/>
    <w:rsid w:val="00BD2C5E"/>
    <w:rsid w:val="00BD3224"/>
    <w:rsid w:val="00BD45EA"/>
    <w:rsid w:val="00BD476C"/>
    <w:rsid w:val="00BD518E"/>
    <w:rsid w:val="00BD5B1A"/>
    <w:rsid w:val="00BD5E5E"/>
    <w:rsid w:val="00BD607E"/>
    <w:rsid w:val="00BD6D75"/>
    <w:rsid w:val="00BD74F5"/>
    <w:rsid w:val="00BD7874"/>
    <w:rsid w:val="00BD7E5B"/>
    <w:rsid w:val="00BE0588"/>
    <w:rsid w:val="00BE0A78"/>
    <w:rsid w:val="00BE19AC"/>
    <w:rsid w:val="00BE1C69"/>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2C6F"/>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0680"/>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4022"/>
    <w:rsid w:val="00C25004"/>
    <w:rsid w:val="00C25AF4"/>
    <w:rsid w:val="00C26D8A"/>
    <w:rsid w:val="00C27258"/>
    <w:rsid w:val="00C279ED"/>
    <w:rsid w:val="00C3248B"/>
    <w:rsid w:val="00C34412"/>
    <w:rsid w:val="00C346AB"/>
    <w:rsid w:val="00C34EDA"/>
    <w:rsid w:val="00C35028"/>
    <w:rsid w:val="00C361B7"/>
    <w:rsid w:val="00C366FD"/>
    <w:rsid w:val="00C373C7"/>
    <w:rsid w:val="00C37CC9"/>
    <w:rsid w:val="00C408B6"/>
    <w:rsid w:val="00C41373"/>
    <w:rsid w:val="00C44207"/>
    <w:rsid w:val="00C445E1"/>
    <w:rsid w:val="00C459BE"/>
    <w:rsid w:val="00C45A4C"/>
    <w:rsid w:val="00C45EF1"/>
    <w:rsid w:val="00C4662F"/>
    <w:rsid w:val="00C46745"/>
    <w:rsid w:val="00C47303"/>
    <w:rsid w:val="00C500C4"/>
    <w:rsid w:val="00C50CB0"/>
    <w:rsid w:val="00C50E69"/>
    <w:rsid w:val="00C542C1"/>
    <w:rsid w:val="00C55D59"/>
    <w:rsid w:val="00C566CE"/>
    <w:rsid w:val="00C57336"/>
    <w:rsid w:val="00C5761A"/>
    <w:rsid w:val="00C60D5A"/>
    <w:rsid w:val="00C61A82"/>
    <w:rsid w:val="00C64F3F"/>
    <w:rsid w:val="00C65513"/>
    <w:rsid w:val="00C65814"/>
    <w:rsid w:val="00C6640C"/>
    <w:rsid w:val="00C6675E"/>
    <w:rsid w:val="00C66E69"/>
    <w:rsid w:val="00C67599"/>
    <w:rsid w:val="00C67F0E"/>
    <w:rsid w:val="00C70413"/>
    <w:rsid w:val="00C7051A"/>
    <w:rsid w:val="00C705ED"/>
    <w:rsid w:val="00C707FB"/>
    <w:rsid w:val="00C709B3"/>
    <w:rsid w:val="00C71790"/>
    <w:rsid w:val="00C717BD"/>
    <w:rsid w:val="00C72717"/>
    <w:rsid w:val="00C727FF"/>
    <w:rsid w:val="00C73256"/>
    <w:rsid w:val="00C73390"/>
    <w:rsid w:val="00C74BD8"/>
    <w:rsid w:val="00C75EF2"/>
    <w:rsid w:val="00C76352"/>
    <w:rsid w:val="00C765C7"/>
    <w:rsid w:val="00C801E7"/>
    <w:rsid w:val="00C804E6"/>
    <w:rsid w:val="00C80AC8"/>
    <w:rsid w:val="00C80E69"/>
    <w:rsid w:val="00C819A3"/>
    <w:rsid w:val="00C822A8"/>
    <w:rsid w:val="00C84CE2"/>
    <w:rsid w:val="00C84D0F"/>
    <w:rsid w:val="00C85CDE"/>
    <w:rsid w:val="00C914DD"/>
    <w:rsid w:val="00C9267C"/>
    <w:rsid w:val="00C92E08"/>
    <w:rsid w:val="00C955AD"/>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2A43"/>
    <w:rsid w:val="00CC3323"/>
    <w:rsid w:val="00CC3D22"/>
    <w:rsid w:val="00CC4B81"/>
    <w:rsid w:val="00CC550A"/>
    <w:rsid w:val="00CC5B6E"/>
    <w:rsid w:val="00CC635F"/>
    <w:rsid w:val="00CD32CF"/>
    <w:rsid w:val="00CD407F"/>
    <w:rsid w:val="00CD40F9"/>
    <w:rsid w:val="00CD48CE"/>
    <w:rsid w:val="00CD48F8"/>
    <w:rsid w:val="00CD557E"/>
    <w:rsid w:val="00CD5CD2"/>
    <w:rsid w:val="00CD5F3D"/>
    <w:rsid w:val="00CD5FE7"/>
    <w:rsid w:val="00CD604B"/>
    <w:rsid w:val="00CD6EED"/>
    <w:rsid w:val="00CD74CE"/>
    <w:rsid w:val="00CE0241"/>
    <w:rsid w:val="00CE06B3"/>
    <w:rsid w:val="00CE1462"/>
    <w:rsid w:val="00CE152A"/>
    <w:rsid w:val="00CE1BA4"/>
    <w:rsid w:val="00CE26CD"/>
    <w:rsid w:val="00CE6D3D"/>
    <w:rsid w:val="00CE7AC6"/>
    <w:rsid w:val="00CE7F2F"/>
    <w:rsid w:val="00CE7FC8"/>
    <w:rsid w:val="00CF09C5"/>
    <w:rsid w:val="00CF18E7"/>
    <w:rsid w:val="00CF220C"/>
    <w:rsid w:val="00CF2371"/>
    <w:rsid w:val="00CF3904"/>
    <w:rsid w:val="00CF4AED"/>
    <w:rsid w:val="00CF6591"/>
    <w:rsid w:val="00CF6C69"/>
    <w:rsid w:val="00D01664"/>
    <w:rsid w:val="00D03243"/>
    <w:rsid w:val="00D038CC"/>
    <w:rsid w:val="00D03FF6"/>
    <w:rsid w:val="00D04BA7"/>
    <w:rsid w:val="00D10628"/>
    <w:rsid w:val="00D11051"/>
    <w:rsid w:val="00D12991"/>
    <w:rsid w:val="00D1340E"/>
    <w:rsid w:val="00D14739"/>
    <w:rsid w:val="00D147C8"/>
    <w:rsid w:val="00D16A2E"/>
    <w:rsid w:val="00D16C4A"/>
    <w:rsid w:val="00D16F77"/>
    <w:rsid w:val="00D17FF8"/>
    <w:rsid w:val="00D20034"/>
    <w:rsid w:val="00D201EF"/>
    <w:rsid w:val="00D204B3"/>
    <w:rsid w:val="00D20637"/>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AAB"/>
    <w:rsid w:val="00D35B90"/>
    <w:rsid w:val="00D3629F"/>
    <w:rsid w:val="00D40159"/>
    <w:rsid w:val="00D404E0"/>
    <w:rsid w:val="00D411FC"/>
    <w:rsid w:val="00D413E3"/>
    <w:rsid w:val="00D41718"/>
    <w:rsid w:val="00D42B7A"/>
    <w:rsid w:val="00D430AB"/>
    <w:rsid w:val="00D432B4"/>
    <w:rsid w:val="00D43627"/>
    <w:rsid w:val="00D437DE"/>
    <w:rsid w:val="00D43AAD"/>
    <w:rsid w:val="00D44580"/>
    <w:rsid w:val="00D44D08"/>
    <w:rsid w:val="00D4567B"/>
    <w:rsid w:val="00D46E51"/>
    <w:rsid w:val="00D474C0"/>
    <w:rsid w:val="00D477E5"/>
    <w:rsid w:val="00D505CA"/>
    <w:rsid w:val="00D51B1F"/>
    <w:rsid w:val="00D523B4"/>
    <w:rsid w:val="00D52898"/>
    <w:rsid w:val="00D52F6C"/>
    <w:rsid w:val="00D5381C"/>
    <w:rsid w:val="00D53B20"/>
    <w:rsid w:val="00D5484F"/>
    <w:rsid w:val="00D561DB"/>
    <w:rsid w:val="00D57051"/>
    <w:rsid w:val="00D57BCC"/>
    <w:rsid w:val="00D57D83"/>
    <w:rsid w:val="00D57E5A"/>
    <w:rsid w:val="00D6005A"/>
    <w:rsid w:val="00D60EE3"/>
    <w:rsid w:val="00D61367"/>
    <w:rsid w:val="00D619B5"/>
    <w:rsid w:val="00D61CB1"/>
    <w:rsid w:val="00D632A2"/>
    <w:rsid w:val="00D63F79"/>
    <w:rsid w:val="00D64682"/>
    <w:rsid w:val="00D6492A"/>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1A76"/>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1152"/>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4DE"/>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2BB1"/>
    <w:rsid w:val="00E135CE"/>
    <w:rsid w:val="00E138CB"/>
    <w:rsid w:val="00E142D4"/>
    <w:rsid w:val="00E145C5"/>
    <w:rsid w:val="00E15DD0"/>
    <w:rsid w:val="00E178A6"/>
    <w:rsid w:val="00E17B42"/>
    <w:rsid w:val="00E17DDB"/>
    <w:rsid w:val="00E20979"/>
    <w:rsid w:val="00E21A5B"/>
    <w:rsid w:val="00E23330"/>
    <w:rsid w:val="00E238A6"/>
    <w:rsid w:val="00E23FCD"/>
    <w:rsid w:val="00E24850"/>
    <w:rsid w:val="00E2509F"/>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3BA3"/>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A7F16"/>
    <w:rsid w:val="00EB022C"/>
    <w:rsid w:val="00EB0467"/>
    <w:rsid w:val="00EB1EF6"/>
    <w:rsid w:val="00EB1F7B"/>
    <w:rsid w:val="00EB37C7"/>
    <w:rsid w:val="00EB505B"/>
    <w:rsid w:val="00EB784E"/>
    <w:rsid w:val="00EB78B4"/>
    <w:rsid w:val="00EB7F09"/>
    <w:rsid w:val="00EC04C8"/>
    <w:rsid w:val="00EC0903"/>
    <w:rsid w:val="00EC13DE"/>
    <w:rsid w:val="00EC1625"/>
    <w:rsid w:val="00EC19DE"/>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612"/>
    <w:rsid w:val="00F10C91"/>
    <w:rsid w:val="00F1187B"/>
    <w:rsid w:val="00F11DC8"/>
    <w:rsid w:val="00F132AA"/>
    <w:rsid w:val="00F13DEB"/>
    <w:rsid w:val="00F13F2E"/>
    <w:rsid w:val="00F14739"/>
    <w:rsid w:val="00F149EC"/>
    <w:rsid w:val="00F15BB6"/>
    <w:rsid w:val="00F16BAF"/>
    <w:rsid w:val="00F171F5"/>
    <w:rsid w:val="00F20D6F"/>
    <w:rsid w:val="00F22B12"/>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319"/>
    <w:rsid w:val="00F45A20"/>
    <w:rsid w:val="00F45C9E"/>
    <w:rsid w:val="00F4783A"/>
    <w:rsid w:val="00F50BBD"/>
    <w:rsid w:val="00F50CE4"/>
    <w:rsid w:val="00F50E9C"/>
    <w:rsid w:val="00F5119A"/>
    <w:rsid w:val="00F51255"/>
    <w:rsid w:val="00F53566"/>
    <w:rsid w:val="00F53681"/>
    <w:rsid w:val="00F55C5F"/>
    <w:rsid w:val="00F604BD"/>
    <w:rsid w:val="00F60B3B"/>
    <w:rsid w:val="00F61BE6"/>
    <w:rsid w:val="00F61C12"/>
    <w:rsid w:val="00F61E1F"/>
    <w:rsid w:val="00F62412"/>
    <w:rsid w:val="00F62D8C"/>
    <w:rsid w:val="00F6392F"/>
    <w:rsid w:val="00F63EC1"/>
    <w:rsid w:val="00F64F32"/>
    <w:rsid w:val="00F653A3"/>
    <w:rsid w:val="00F65BB9"/>
    <w:rsid w:val="00F65DAC"/>
    <w:rsid w:val="00F67292"/>
    <w:rsid w:val="00F67E3D"/>
    <w:rsid w:val="00F67F30"/>
    <w:rsid w:val="00F70A9C"/>
    <w:rsid w:val="00F70D29"/>
    <w:rsid w:val="00F7155A"/>
    <w:rsid w:val="00F738D4"/>
    <w:rsid w:val="00F73BD9"/>
    <w:rsid w:val="00F75151"/>
    <w:rsid w:val="00F762F3"/>
    <w:rsid w:val="00F77FDE"/>
    <w:rsid w:val="00F81311"/>
    <w:rsid w:val="00F81BFE"/>
    <w:rsid w:val="00F82591"/>
    <w:rsid w:val="00F82CC5"/>
    <w:rsid w:val="00F83909"/>
    <w:rsid w:val="00F847AC"/>
    <w:rsid w:val="00F850BD"/>
    <w:rsid w:val="00F8510E"/>
    <w:rsid w:val="00F859CB"/>
    <w:rsid w:val="00F86601"/>
    <w:rsid w:val="00F86B16"/>
    <w:rsid w:val="00F87CFD"/>
    <w:rsid w:val="00F906D7"/>
    <w:rsid w:val="00F90773"/>
    <w:rsid w:val="00F909CA"/>
    <w:rsid w:val="00F90A85"/>
    <w:rsid w:val="00F9206E"/>
    <w:rsid w:val="00F93483"/>
    <w:rsid w:val="00F9447E"/>
    <w:rsid w:val="00F948AF"/>
    <w:rsid w:val="00F94A97"/>
    <w:rsid w:val="00F94C31"/>
    <w:rsid w:val="00F94E5C"/>
    <w:rsid w:val="00F94EC7"/>
    <w:rsid w:val="00F951A6"/>
    <w:rsid w:val="00F95C64"/>
    <w:rsid w:val="00F95C8A"/>
    <w:rsid w:val="00F96A9A"/>
    <w:rsid w:val="00F96BC2"/>
    <w:rsid w:val="00FA14DF"/>
    <w:rsid w:val="00FA2191"/>
    <w:rsid w:val="00FA273A"/>
    <w:rsid w:val="00FA278D"/>
    <w:rsid w:val="00FA3BD7"/>
    <w:rsid w:val="00FA52B0"/>
    <w:rsid w:val="00FA576F"/>
    <w:rsid w:val="00FA5936"/>
    <w:rsid w:val="00FA5BAC"/>
    <w:rsid w:val="00FA6339"/>
    <w:rsid w:val="00FA7501"/>
    <w:rsid w:val="00FA77D7"/>
    <w:rsid w:val="00FA7A70"/>
    <w:rsid w:val="00FB36C9"/>
    <w:rsid w:val="00FB427E"/>
    <w:rsid w:val="00FB4329"/>
    <w:rsid w:val="00FB5881"/>
    <w:rsid w:val="00FB6F7E"/>
    <w:rsid w:val="00FC0BD9"/>
    <w:rsid w:val="00FC187B"/>
    <w:rsid w:val="00FC341C"/>
    <w:rsid w:val="00FC37A9"/>
    <w:rsid w:val="00FC5CCA"/>
    <w:rsid w:val="00FC65C3"/>
    <w:rsid w:val="00FC65CD"/>
    <w:rsid w:val="00FC6C73"/>
    <w:rsid w:val="00FD1249"/>
    <w:rsid w:val="00FD15B7"/>
    <w:rsid w:val="00FD1EBC"/>
    <w:rsid w:val="00FD3DA8"/>
    <w:rsid w:val="00FD43F7"/>
    <w:rsid w:val="00FD4482"/>
    <w:rsid w:val="00FD509B"/>
    <w:rsid w:val="00FD5350"/>
    <w:rsid w:val="00FD7044"/>
    <w:rsid w:val="00FD7080"/>
    <w:rsid w:val="00FD7ACA"/>
    <w:rsid w:val="00FD7EDA"/>
    <w:rsid w:val="00FD7F97"/>
    <w:rsid w:val="00FE0A5C"/>
    <w:rsid w:val="00FE1862"/>
    <w:rsid w:val="00FE18E8"/>
    <w:rsid w:val="00FE3841"/>
    <w:rsid w:val="00FE41E0"/>
    <w:rsid w:val="00FE49EE"/>
    <w:rsid w:val="00FE600E"/>
    <w:rsid w:val="00FE6817"/>
    <w:rsid w:val="00FE68B1"/>
    <w:rsid w:val="00FE68F6"/>
    <w:rsid w:val="00FE69E0"/>
    <w:rsid w:val="00FE7A37"/>
    <w:rsid w:val="00FF027B"/>
    <w:rsid w:val="00FF1768"/>
    <w:rsid w:val="00FF1B8B"/>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3BC5"/>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83B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3BC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763"/>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3BC5"/>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83B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3BC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763"/>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204712792">
      <w:bodyDiv w:val="1"/>
      <w:marLeft w:val="0"/>
      <w:marRight w:val="0"/>
      <w:marTop w:val="0"/>
      <w:marBottom w:val="0"/>
      <w:divBdr>
        <w:top w:val="none" w:sz="0" w:space="0" w:color="auto"/>
        <w:left w:val="none" w:sz="0" w:space="0" w:color="auto"/>
        <w:bottom w:val="none" w:sz="0" w:space="0" w:color="auto"/>
        <w:right w:val="none" w:sz="0" w:space="0" w:color="auto"/>
      </w:divBdr>
      <w:divsChild>
        <w:div w:id="1946686714">
          <w:marLeft w:val="274"/>
          <w:marRight w:val="0"/>
          <w:marTop w:val="115"/>
          <w:marBottom w:val="0"/>
          <w:divBdr>
            <w:top w:val="none" w:sz="0" w:space="0" w:color="auto"/>
            <w:left w:val="none" w:sz="0" w:space="0" w:color="auto"/>
            <w:bottom w:val="none" w:sz="0" w:space="0" w:color="auto"/>
            <w:right w:val="none" w:sz="0" w:space="0" w:color="auto"/>
          </w:divBdr>
        </w:div>
        <w:div w:id="605618400">
          <w:marLeft w:val="835"/>
          <w:marRight w:val="0"/>
          <w:marTop w:val="96"/>
          <w:marBottom w:val="0"/>
          <w:divBdr>
            <w:top w:val="none" w:sz="0" w:space="0" w:color="auto"/>
            <w:left w:val="none" w:sz="0" w:space="0" w:color="auto"/>
            <w:bottom w:val="none" w:sz="0" w:space="0" w:color="auto"/>
            <w:right w:val="none" w:sz="0" w:space="0" w:color="auto"/>
          </w:divBdr>
        </w:div>
        <w:div w:id="1812674653">
          <w:marLeft w:val="835"/>
          <w:marRight w:val="0"/>
          <w:marTop w:val="96"/>
          <w:marBottom w:val="0"/>
          <w:divBdr>
            <w:top w:val="none" w:sz="0" w:space="0" w:color="auto"/>
            <w:left w:val="none" w:sz="0" w:space="0" w:color="auto"/>
            <w:bottom w:val="none" w:sz="0" w:space="0" w:color="auto"/>
            <w:right w:val="none" w:sz="0" w:space="0" w:color="auto"/>
          </w:divBdr>
        </w:div>
        <w:div w:id="1615939222">
          <w:marLeft w:val="835"/>
          <w:marRight w:val="0"/>
          <w:marTop w:val="96"/>
          <w:marBottom w:val="0"/>
          <w:divBdr>
            <w:top w:val="none" w:sz="0" w:space="0" w:color="auto"/>
            <w:left w:val="none" w:sz="0" w:space="0" w:color="auto"/>
            <w:bottom w:val="none" w:sz="0" w:space="0" w:color="auto"/>
            <w:right w:val="none" w:sz="0" w:space="0" w:color="auto"/>
          </w:divBdr>
        </w:div>
        <w:div w:id="1971594791">
          <w:marLeft w:val="274"/>
          <w:marRight w:val="0"/>
          <w:marTop w:val="115"/>
          <w:marBottom w:val="0"/>
          <w:divBdr>
            <w:top w:val="none" w:sz="0" w:space="0" w:color="auto"/>
            <w:left w:val="none" w:sz="0" w:space="0" w:color="auto"/>
            <w:bottom w:val="none" w:sz="0" w:space="0" w:color="auto"/>
            <w:right w:val="none" w:sz="0" w:space="0" w:color="auto"/>
          </w:divBdr>
        </w:div>
        <w:div w:id="959847950">
          <w:marLeft w:val="835"/>
          <w:marRight w:val="0"/>
          <w:marTop w:val="96"/>
          <w:marBottom w:val="0"/>
          <w:divBdr>
            <w:top w:val="none" w:sz="0" w:space="0" w:color="auto"/>
            <w:left w:val="none" w:sz="0" w:space="0" w:color="auto"/>
            <w:bottom w:val="none" w:sz="0" w:space="0" w:color="auto"/>
            <w:right w:val="none" w:sz="0" w:space="0" w:color="auto"/>
          </w:divBdr>
        </w:div>
        <w:div w:id="74403330">
          <w:marLeft w:val="1411"/>
          <w:marRight w:val="0"/>
          <w:marTop w:val="96"/>
          <w:marBottom w:val="0"/>
          <w:divBdr>
            <w:top w:val="none" w:sz="0" w:space="0" w:color="auto"/>
            <w:left w:val="none" w:sz="0" w:space="0" w:color="auto"/>
            <w:bottom w:val="none" w:sz="0" w:space="0" w:color="auto"/>
            <w:right w:val="none" w:sz="0" w:space="0" w:color="auto"/>
          </w:divBdr>
        </w:div>
        <w:div w:id="298191304">
          <w:marLeft w:val="835"/>
          <w:marRight w:val="0"/>
          <w:marTop w:val="96"/>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5.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2.xml"/><Relationship Id="rId10" Type="http://schemas.openxmlformats.org/officeDocument/2006/relationships/package" Target="embeddings/Microsoft_Visio_Drawing1.vsdx"/><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C0B8B-F7E6-4F82-AA95-4499DB271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2224</Words>
  <Characters>12678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14873</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14</cp:revision>
  <cp:lastPrinted>2013-02-08T15:42:00Z</cp:lastPrinted>
  <dcterms:created xsi:type="dcterms:W3CDTF">2016-02-05T16:53:00Z</dcterms:created>
  <dcterms:modified xsi:type="dcterms:W3CDTF">2016-02-09T19:17:00Z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